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cs="Times New Roman"/>
          <w:b/>
          <w:bCs/>
          <w:color w:val="auto"/>
          <w:sz w:val="32"/>
          <w:szCs w:val="32"/>
          <w:highlight w:val="none"/>
          <w:lang w:eastAsia="zh-CN"/>
        </w:rPr>
      </w:pPr>
      <w:r>
        <w:rPr>
          <w:rFonts w:hint="eastAsia" w:cs="Times New Roman"/>
          <w:b/>
          <w:bCs/>
          <w:color w:val="auto"/>
          <w:sz w:val="32"/>
          <w:szCs w:val="32"/>
          <w:highlight w:val="none"/>
          <w:lang w:eastAsia="zh-CN"/>
        </w:rPr>
        <w:t>保靖县农场加油站搬迁建设项目</w:t>
      </w:r>
    </w:p>
    <w:p>
      <w:pPr>
        <w:ind w:firstLine="0" w:firstLineChars="0"/>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竣工环境保护自主验收意见</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202</w:t>
      </w:r>
      <w:r>
        <w:rPr>
          <w:rFonts w:hint="default" w:ascii="Times New Roman" w:hAnsi="Times New Roman" w:eastAsia="仿宋" w:cs="Times New Roman"/>
          <w:color w:val="auto"/>
          <w:sz w:val="28"/>
          <w:highlight w:val="none"/>
          <w:lang w:val="en-US" w:eastAsia="zh-CN"/>
        </w:rPr>
        <w:t>1</w:t>
      </w:r>
      <w:r>
        <w:rPr>
          <w:rFonts w:hint="default" w:ascii="Times New Roman" w:hAnsi="Times New Roman" w:eastAsia="仿宋" w:cs="Times New Roman"/>
          <w:color w:val="auto"/>
          <w:sz w:val="28"/>
          <w:highlight w:val="none"/>
        </w:rPr>
        <w:t>年</w:t>
      </w:r>
      <w:r>
        <w:rPr>
          <w:rFonts w:hint="eastAsia" w:eastAsia="仿宋" w:cs="Times New Roman"/>
          <w:color w:val="auto"/>
          <w:sz w:val="28"/>
          <w:highlight w:val="none"/>
          <w:lang w:val="en-US" w:eastAsia="zh-CN"/>
        </w:rPr>
        <w:t>1</w:t>
      </w:r>
      <w:r>
        <w:rPr>
          <w:rFonts w:hint="default" w:ascii="Times New Roman" w:hAnsi="Times New Roman" w:eastAsia="仿宋" w:cs="Times New Roman"/>
          <w:color w:val="auto"/>
          <w:sz w:val="28"/>
          <w:highlight w:val="none"/>
          <w:lang w:val="en-US" w:eastAsia="zh-CN"/>
        </w:rPr>
        <w:t>月</w:t>
      </w:r>
      <w:r>
        <w:rPr>
          <w:rFonts w:hint="eastAsia" w:eastAsia="仿宋" w:cs="Times New Roman"/>
          <w:color w:val="auto"/>
          <w:sz w:val="28"/>
          <w:highlight w:val="none"/>
          <w:lang w:val="en-US" w:eastAsia="zh-CN"/>
        </w:rPr>
        <w:t>7</w:t>
      </w:r>
      <w:r>
        <w:rPr>
          <w:rFonts w:hint="default" w:ascii="Times New Roman" w:hAnsi="Times New Roman" w:eastAsia="仿宋" w:cs="Times New Roman"/>
          <w:color w:val="auto"/>
          <w:sz w:val="28"/>
          <w:highlight w:val="none"/>
        </w:rPr>
        <w:t>日，中国石化销售股份有限公司湖南湘西石油分公司针对保靖县农场加油站搬迁建设项目竣工环境保护验收监测报告，并对照《建设项目竣工环境保护验收暂行办法》，严格依照国家有关法律法规、建设项目竣工环境保护验收技术规范/指南、本项目环境影响评价报告</w:t>
      </w:r>
      <w:r>
        <w:rPr>
          <w:rFonts w:hint="default" w:ascii="Times New Roman" w:hAnsi="Times New Roman" w:eastAsia="仿宋" w:cs="Times New Roman"/>
          <w:color w:val="auto"/>
          <w:sz w:val="28"/>
          <w:highlight w:val="none"/>
          <w:lang w:val="en-US" w:eastAsia="zh-CN"/>
        </w:rPr>
        <w:t>表</w:t>
      </w:r>
      <w:r>
        <w:rPr>
          <w:rFonts w:hint="default" w:ascii="Times New Roman" w:hAnsi="Times New Roman" w:eastAsia="仿宋" w:cs="Times New Roman"/>
          <w:color w:val="auto"/>
          <w:sz w:val="28"/>
          <w:highlight w:val="none"/>
        </w:rPr>
        <w:t>和审批部门审批决定等要求对本项目进行验收，提出意见如下：</w:t>
      </w:r>
    </w:p>
    <w:p>
      <w:pPr>
        <w:topLinePunct w:val="0"/>
        <w:ind w:firstLine="562"/>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一、工程建设基本情况</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1、建设地点、规模、建设内容</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项目名称：保靖县农场加油站搬迁建设项目；</w:t>
      </w:r>
    </w:p>
    <w:p>
      <w:pPr>
        <w:topLinePunct w:val="0"/>
        <w:ind w:firstLine="560"/>
        <w:rPr>
          <w:rFonts w:hint="default" w:ascii="Times New Roman" w:hAnsi="Times New Roman" w:eastAsia="仿宋" w:cs="Times New Roman"/>
          <w:color w:val="auto"/>
          <w:sz w:val="28"/>
          <w:highlight w:val="none"/>
          <w:lang w:val="zh-CN"/>
        </w:rPr>
      </w:pPr>
      <w:r>
        <w:rPr>
          <w:rFonts w:hint="default" w:ascii="Times New Roman" w:hAnsi="Times New Roman" w:eastAsia="仿宋" w:cs="Times New Roman"/>
          <w:color w:val="auto"/>
          <w:sz w:val="28"/>
          <w:highlight w:val="none"/>
        </w:rPr>
        <w:t>建设单位：中国石化销售股份有限公司湖南湘西石油分公司</w:t>
      </w:r>
      <w:r>
        <w:rPr>
          <w:rFonts w:hint="default" w:ascii="Times New Roman" w:hAnsi="Times New Roman" w:eastAsia="仿宋" w:cs="Times New Roman"/>
          <w:color w:val="auto"/>
          <w:sz w:val="28"/>
          <w:highlight w:val="none"/>
          <w:lang w:val="zh-CN"/>
        </w:rPr>
        <w:t>；</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建设地点：</w:t>
      </w:r>
      <w:bookmarkStart w:id="3" w:name="_GoBack"/>
      <w:r>
        <w:rPr>
          <w:rFonts w:hint="default" w:ascii="Times New Roman" w:hAnsi="Times New Roman" w:eastAsia="仿宋" w:cs="Times New Roman"/>
          <w:color w:val="auto"/>
          <w:sz w:val="28"/>
          <w:highlight w:val="none"/>
        </w:rPr>
        <w:t>保靖县迁陵镇桐木棋廉租房旁</w:t>
      </w:r>
      <w:bookmarkEnd w:id="3"/>
      <w:r>
        <w:rPr>
          <w:rFonts w:hint="default" w:ascii="Times New Roman" w:hAnsi="Times New Roman" w:eastAsia="仿宋" w:cs="Times New Roman"/>
          <w:color w:val="auto"/>
          <w:sz w:val="28"/>
          <w:highlight w:val="none"/>
          <w:lang w:eastAsia="zh-CN"/>
        </w:rPr>
        <w:t>；</w:t>
      </w:r>
      <w:r>
        <w:rPr>
          <w:rFonts w:hint="default" w:ascii="Times New Roman" w:hAnsi="Times New Roman" w:eastAsia="仿宋" w:cs="Times New Roman"/>
          <w:color w:val="auto"/>
          <w:sz w:val="28"/>
          <w:highlight w:val="none"/>
        </w:rPr>
        <w:t>中心地理坐标：</w:t>
      </w:r>
      <w:r>
        <w:rPr>
          <w:rFonts w:hint="eastAsia" w:eastAsia="仿宋" w:cs="Times New Roman"/>
          <w:color w:val="auto"/>
          <w:sz w:val="28"/>
          <w:highlight w:val="none"/>
          <w:lang w:val="en-US" w:eastAsia="zh-CN"/>
        </w:rPr>
        <w:t>E</w:t>
      </w:r>
      <w:r>
        <w:rPr>
          <w:rFonts w:hint="default" w:ascii="Times New Roman" w:hAnsi="Times New Roman" w:eastAsia="仿宋" w:cs="Times New Roman"/>
          <w:color w:val="auto"/>
          <w:sz w:val="28"/>
          <w:highlight w:val="none"/>
        </w:rPr>
        <w:t>109°38′52.35283″,</w:t>
      </w:r>
      <w:r>
        <w:rPr>
          <w:rFonts w:hint="eastAsia" w:eastAsia="仿宋" w:cs="Times New Roman"/>
          <w:color w:val="auto"/>
          <w:sz w:val="28"/>
          <w:highlight w:val="none"/>
          <w:lang w:val="en-US" w:eastAsia="zh-CN"/>
        </w:rPr>
        <w:t>N</w:t>
      </w:r>
      <w:r>
        <w:rPr>
          <w:rFonts w:hint="default" w:ascii="Times New Roman" w:hAnsi="Times New Roman" w:eastAsia="仿宋" w:cs="Times New Roman"/>
          <w:color w:val="auto"/>
          <w:sz w:val="28"/>
          <w:highlight w:val="none"/>
        </w:rPr>
        <w:t>28°41′23.10512″；</w:t>
      </w:r>
    </w:p>
    <w:p>
      <w:pPr>
        <w:topLinePunct w:val="0"/>
        <w:ind w:firstLine="560"/>
        <w:rPr>
          <w:rFonts w:hint="default" w:ascii="Times New Roman" w:hAnsi="Times New Roman" w:eastAsia="仿宋" w:cs="Times New Roman"/>
          <w:color w:val="auto"/>
          <w:kern w:val="2"/>
          <w:sz w:val="28"/>
          <w:highlight w:val="none"/>
          <w:lang w:bidi="ar"/>
        </w:rPr>
      </w:pPr>
      <w:r>
        <w:rPr>
          <w:rFonts w:hint="eastAsia" w:ascii="仿宋" w:hAnsi="仿宋" w:eastAsia="仿宋" w:cs="仿宋"/>
          <w:color w:val="auto"/>
          <w:sz w:val="28"/>
          <w:highlight w:val="none"/>
        </w:rPr>
        <w:t>建设</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u w:val="none"/>
        </w:rPr>
        <w:t>总用地</w:t>
      </w:r>
      <w:r>
        <w:rPr>
          <w:rFonts w:hint="default" w:ascii="Times New Roman" w:hAnsi="Times New Roman" w:eastAsia="仿宋" w:cs="Times New Roman"/>
          <w:color w:val="auto"/>
          <w:sz w:val="28"/>
          <w:szCs w:val="28"/>
          <w:highlight w:val="none"/>
          <w:u w:val="none"/>
        </w:rPr>
        <w:t>面积3648.82m</w:t>
      </w:r>
      <w:r>
        <w:rPr>
          <w:rFonts w:hint="default" w:ascii="Times New Roman" w:hAnsi="Times New Roman" w:eastAsia="仿宋" w:cs="Times New Roman"/>
          <w:color w:val="auto"/>
          <w:sz w:val="28"/>
          <w:szCs w:val="28"/>
          <w:highlight w:val="none"/>
          <w:u w:val="none"/>
          <w:vertAlign w:val="superscript"/>
        </w:rPr>
        <w:t>2</w:t>
      </w:r>
      <w:r>
        <w:rPr>
          <w:rFonts w:hint="default" w:ascii="Times New Roman" w:hAnsi="Times New Roman" w:eastAsia="仿宋" w:cs="Times New Roman"/>
          <w:color w:val="auto"/>
          <w:sz w:val="28"/>
          <w:szCs w:val="28"/>
          <w:highlight w:val="none"/>
        </w:rPr>
        <w:t>。</w:t>
      </w:r>
      <w:r>
        <w:rPr>
          <w:rFonts w:hint="eastAsia" w:ascii="仿宋" w:hAnsi="仿宋" w:eastAsia="仿宋" w:cs="仿宋"/>
          <w:color w:val="auto"/>
          <w:sz w:val="28"/>
          <w:szCs w:val="28"/>
          <w:highlight w:val="none"/>
          <w:lang w:val="en-US" w:eastAsia="zh-CN"/>
        </w:rPr>
        <w:t>具体建设内容包括站房、辅房、罩棚、加油区、埋地油罐区、配套洗车机房等（项目不设置汽车维修等工程）</w:t>
      </w:r>
      <w:r>
        <w:rPr>
          <w:rFonts w:hint="default" w:ascii="Times New Roman" w:hAnsi="Times New Roman" w:eastAsia="仿宋" w:cs="Times New Roman"/>
          <w:color w:val="auto"/>
          <w:sz w:val="28"/>
          <w:highlight w:val="none"/>
          <w:lang w:val="en-US" w:eastAsia="zh-CN"/>
        </w:rPr>
        <w:t>。</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2、建设工程及环保审批情况</w:t>
      </w:r>
    </w:p>
    <w:p>
      <w:pPr>
        <w:topLinePunct w:val="0"/>
        <w:ind w:firstLine="560"/>
        <w:rPr>
          <w:rFonts w:hint="default" w:ascii="Times New Roman" w:hAnsi="Times New Roman" w:eastAsia="仿宋" w:cs="Times New Roman"/>
          <w:color w:val="auto"/>
          <w:sz w:val="28"/>
          <w:highlight w:val="none"/>
          <w:lang w:val="en-US" w:eastAsia="zh-CN"/>
        </w:rPr>
      </w:pPr>
      <w:r>
        <w:rPr>
          <w:rFonts w:hint="default" w:ascii="Times New Roman" w:hAnsi="Times New Roman" w:eastAsia="仿宋" w:cs="Times New Roman"/>
          <w:color w:val="auto"/>
          <w:sz w:val="28"/>
          <w:highlight w:val="none"/>
        </w:rPr>
        <w:t>保靖县农场加油站搬迁建设项目</w:t>
      </w:r>
      <w:r>
        <w:rPr>
          <w:rFonts w:hint="default" w:ascii="Times New Roman" w:hAnsi="Times New Roman" w:eastAsia="仿宋" w:cs="Times New Roman"/>
          <w:color w:val="auto"/>
          <w:sz w:val="28"/>
          <w:highlight w:val="none"/>
          <w:lang w:val="en-US" w:eastAsia="zh-CN"/>
        </w:rPr>
        <w:t>位于</w:t>
      </w:r>
      <w:r>
        <w:rPr>
          <w:rFonts w:hint="default" w:ascii="Times New Roman" w:hAnsi="Times New Roman" w:eastAsia="仿宋" w:cs="Times New Roman"/>
          <w:color w:val="auto"/>
          <w:sz w:val="28"/>
          <w:highlight w:val="none"/>
        </w:rPr>
        <w:t>保靖县迁陵镇桐木棋廉租房旁</w:t>
      </w:r>
      <w:r>
        <w:rPr>
          <w:rFonts w:hint="default" w:ascii="Times New Roman" w:hAnsi="Times New Roman" w:eastAsia="仿宋" w:cs="Times New Roman"/>
          <w:color w:val="auto"/>
          <w:sz w:val="28"/>
          <w:highlight w:val="none"/>
          <w:lang w:val="en-US" w:eastAsia="zh-CN"/>
        </w:rPr>
        <w:t>，主要建设内容包括：</w:t>
      </w:r>
      <w:r>
        <w:rPr>
          <w:rFonts w:hint="eastAsia" w:ascii="仿宋" w:hAnsi="仿宋" w:eastAsia="仿宋" w:cs="仿宋"/>
          <w:color w:val="auto"/>
          <w:sz w:val="28"/>
          <w:szCs w:val="28"/>
          <w:highlight w:val="none"/>
          <w:lang w:val="en-US" w:eastAsia="zh-CN"/>
        </w:rPr>
        <w:t>站房、辅房、罩棚、加油区、埋地油罐区、配套洗车机房等（项目不设置汽车维修等工程）</w:t>
      </w:r>
      <w:r>
        <w:rPr>
          <w:rFonts w:hint="default" w:ascii="Times New Roman" w:hAnsi="Times New Roman" w:eastAsia="仿宋" w:cs="Times New Roman"/>
          <w:color w:val="auto"/>
          <w:sz w:val="28"/>
          <w:highlight w:val="none"/>
          <w:lang w:val="en-US" w:eastAsia="zh-CN"/>
        </w:rPr>
        <w:t>。保靖县农场加油站搬迁建设项目根据国家有关环保政策要求，于2020年7月由湖南绿鸿环境科技有限责任公司编制完成了《保靖县农场加油站搬迁建设项目环境影响报告表》。</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lang w:val="en-US" w:eastAsia="zh-CN"/>
        </w:rPr>
        <w:t>2020年8月3日，湘西土家族苗族自治州生态环境局</w:t>
      </w:r>
      <w:r>
        <w:rPr>
          <w:rFonts w:hint="eastAsia" w:eastAsia="仿宋" w:cs="Times New Roman"/>
          <w:color w:val="auto"/>
          <w:sz w:val="28"/>
          <w:highlight w:val="none"/>
          <w:lang w:val="en-US" w:eastAsia="zh-CN"/>
        </w:rPr>
        <w:t>以</w:t>
      </w:r>
      <w:r>
        <w:rPr>
          <w:rFonts w:hint="default" w:ascii="Times New Roman" w:hAnsi="Times New Roman" w:eastAsia="仿宋" w:cs="Times New Roman"/>
          <w:color w:val="auto"/>
          <w:sz w:val="28"/>
          <w:highlight w:val="none"/>
          <w:lang w:val="en-US" w:eastAsia="zh-CN"/>
        </w:rPr>
        <w:t>州环评（保靖）【2020】2号予以批复。项目于2021年8月15日正式施工，2021年11月10日完成竣工，11月15日进入生产调试阶段</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3、环保投资</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lang w:val="en-US" w:eastAsia="zh-CN"/>
        </w:rPr>
        <w:t>项目</w:t>
      </w:r>
      <w:r>
        <w:rPr>
          <w:rFonts w:hint="default" w:ascii="Times New Roman" w:hAnsi="Times New Roman" w:eastAsia="仿宋" w:cs="Times New Roman"/>
          <w:color w:val="auto"/>
          <w:sz w:val="28"/>
          <w:highlight w:val="none"/>
        </w:rPr>
        <w:t>实际投资</w:t>
      </w:r>
      <w:r>
        <w:rPr>
          <w:rFonts w:hint="eastAsia" w:eastAsia="仿宋" w:cs="Times New Roman"/>
          <w:color w:val="auto"/>
          <w:sz w:val="28"/>
          <w:highlight w:val="none"/>
          <w:lang w:val="en-US" w:eastAsia="zh-CN"/>
        </w:rPr>
        <w:t>1600万</w:t>
      </w:r>
      <w:r>
        <w:rPr>
          <w:rFonts w:hint="default" w:ascii="Times New Roman" w:hAnsi="Times New Roman" w:eastAsia="仿宋" w:cs="Times New Roman"/>
          <w:color w:val="auto"/>
          <w:sz w:val="28"/>
          <w:highlight w:val="none"/>
        </w:rPr>
        <w:t>元，环保投资</w:t>
      </w:r>
      <w:r>
        <w:rPr>
          <w:rFonts w:hint="eastAsia" w:eastAsia="仿宋" w:cs="Times New Roman"/>
          <w:color w:val="auto"/>
          <w:sz w:val="28"/>
          <w:highlight w:val="none"/>
          <w:lang w:val="en-US" w:eastAsia="zh-CN"/>
        </w:rPr>
        <w:t>49.1</w:t>
      </w:r>
      <w:r>
        <w:rPr>
          <w:rFonts w:hint="default" w:ascii="Times New Roman" w:hAnsi="Times New Roman" w:eastAsia="仿宋" w:cs="Times New Roman"/>
          <w:color w:val="auto"/>
          <w:sz w:val="28"/>
          <w:highlight w:val="none"/>
        </w:rPr>
        <w:t>万元，实际环保投资比例</w:t>
      </w:r>
      <w:r>
        <w:rPr>
          <w:rFonts w:hint="eastAsia" w:eastAsia="仿宋" w:cs="Times New Roman"/>
          <w:color w:val="auto"/>
          <w:sz w:val="28"/>
          <w:highlight w:val="none"/>
          <w:lang w:val="en-US" w:eastAsia="zh-CN"/>
        </w:rPr>
        <w:t>3.01</w:t>
      </w:r>
      <w:r>
        <w:rPr>
          <w:rFonts w:hint="default" w:ascii="Times New Roman" w:hAnsi="Times New Roman" w:eastAsia="仿宋" w:cs="Times New Roman"/>
          <w:color w:val="auto"/>
          <w:sz w:val="28"/>
          <w:highlight w:val="none"/>
        </w:rPr>
        <w:t>%。</w:t>
      </w:r>
    </w:p>
    <w:p>
      <w:pPr>
        <w:topLinePunct w:val="0"/>
        <w:ind w:firstLine="562"/>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二、工程变动情况</w:t>
      </w:r>
    </w:p>
    <w:p>
      <w:pPr>
        <w:ind w:firstLine="480"/>
        <w:rPr>
          <w:rFonts w:hint="default" w:ascii="Times New Roman" w:hAnsi="Times New Roman" w:eastAsia="仿宋" w:cs="Times New Roman"/>
          <w:color w:val="auto"/>
          <w:sz w:val="28"/>
          <w:szCs w:val="28"/>
          <w:highlight w:val="none"/>
          <w:u w:val="none"/>
        </w:rPr>
      </w:pPr>
      <w:r>
        <w:rPr>
          <w:rFonts w:hint="default" w:ascii="Times New Roman" w:hAnsi="Times New Roman" w:eastAsia="仿宋" w:cs="Times New Roman"/>
          <w:color w:val="auto"/>
          <w:sz w:val="28"/>
          <w:szCs w:val="28"/>
          <w:highlight w:val="none"/>
          <w:u w:val="none"/>
        </w:rPr>
        <w:t>项目变动情况如下：</w:t>
      </w:r>
    </w:p>
    <w:p>
      <w:pPr>
        <w:pStyle w:val="30"/>
        <w:keepNext w:val="0"/>
        <w:keepLines w:val="0"/>
        <w:pageBreakBefore w:val="0"/>
        <w:widowControl/>
        <w:kinsoku/>
        <w:wordWrap w:val="0"/>
        <w:overflowPunct/>
        <w:topLinePunct/>
        <w:autoSpaceDE/>
        <w:autoSpaceDN/>
        <w:bidi w:val="0"/>
        <w:adjustRightInd w:val="0"/>
        <w:snapToGrid w:val="0"/>
        <w:spacing w:after="0" w:line="240" w:lineRule="auto"/>
        <w:textAlignment w:val="auto"/>
        <w:rPr>
          <w:rFonts w:hint="default" w:ascii="Times New Roman" w:hAnsi="Times New Roman" w:eastAsia="仿宋" w:cs="Times New Roman"/>
          <w:b/>
          <w:bCs/>
          <w:color w:val="auto"/>
          <w:sz w:val="24"/>
          <w:szCs w:val="24"/>
          <w:highlight w:val="none"/>
          <w:u w:val="none"/>
        </w:rPr>
      </w:pPr>
      <w:r>
        <w:rPr>
          <w:rFonts w:hint="default" w:ascii="Times New Roman" w:hAnsi="Times New Roman" w:eastAsia="仿宋" w:cs="Times New Roman"/>
          <w:b/>
          <w:bCs/>
          <w:color w:val="auto"/>
          <w:sz w:val="24"/>
          <w:szCs w:val="24"/>
          <w:highlight w:val="none"/>
          <w:u w:val="none"/>
        </w:rPr>
        <w:t xml:space="preserve">表 </w:t>
      </w:r>
      <w:r>
        <w:rPr>
          <w:rFonts w:hint="default" w:ascii="Times New Roman" w:hAnsi="Times New Roman" w:eastAsia="仿宋" w:cs="Times New Roman"/>
          <w:b/>
          <w:bCs/>
          <w:color w:val="auto"/>
          <w:sz w:val="24"/>
          <w:szCs w:val="24"/>
          <w:highlight w:val="none"/>
          <w:u w:val="none"/>
          <w:lang w:val="en-US" w:eastAsia="zh-CN"/>
        </w:rPr>
        <w:t>2-1</w:t>
      </w:r>
      <w:r>
        <w:rPr>
          <w:rFonts w:hint="default" w:ascii="Times New Roman" w:hAnsi="Times New Roman" w:eastAsia="仿宋" w:cs="Times New Roman"/>
          <w:b/>
          <w:bCs/>
          <w:color w:val="auto"/>
          <w:sz w:val="24"/>
          <w:szCs w:val="24"/>
          <w:highlight w:val="none"/>
          <w:u w:val="none"/>
        </w:rPr>
        <w:t>项目变更情况对照表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2277"/>
        <w:gridCol w:w="4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4" w:type="dxa"/>
            <w:tcBorders>
              <w:tl2br w:val="nil"/>
              <w:tr2bl w:val="nil"/>
            </w:tcBorders>
            <w:vAlign w:val="center"/>
          </w:tcPr>
          <w:p>
            <w:pPr>
              <w:pStyle w:val="31"/>
              <w:rPr>
                <w:rFonts w:hint="default" w:ascii="Times New Roman" w:hAnsi="Times New Roman" w:eastAsia="仿宋" w:cs="Times New Roman"/>
                <w:b/>
                <w:bCs/>
                <w:color w:val="auto"/>
                <w:highlight w:val="none"/>
                <w:u w:val="none"/>
              </w:rPr>
            </w:pPr>
            <w:r>
              <w:rPr>
                <w:rFonts w:hint="default" w:ascii="Times New Roman" w:hAnsi="Times New Roman" w:eastAsia="仿宋" w:cs="Times New Roman"/>
                <w:b/>
                <w:bCs/>
                <w:color w:val="auto"/>
                <w:highlight w:val="none"/>
                <w:u w:val="none"/>
              </w:rPr>
              <w:t>原环评</w:t>
            </w:r>
          </w:p>
        </w:tc>
        <w:tc>
          <w:tcPr>
            <w:tcW w:w="2277" w:type="dxa"/>
            <w:tcBorders>
              <w:tl2br w:val="nil"/>
              <w:tr2bl w:val="nil"/>
            </w:tcBorders>
            <w:vAlign w:val="center"/>
          </w:tcPr>
          <w:p>
            <w:pPr>
              <w:pStyle w:val="31"/>
              <w:rPr>
                <w:rFonts w:hint="default" w:ascii="Times New Roman" w:hAnsi="Times New Roman" w:eastAsia="仿宋" w:cs="Times New Roman"/>
                <w:b/>
                <w:bCs/>
                <w:color w:val="auto"/>
                <w:highlight w:val="none"/>
                <w:u w:val="none"/>
              </w:rPr>
            </w:pPr>
            <w:r>
              <w:rPr>
                <w:rFonts w:hint="default" w:ascii="Times New Roman" w:hAnsi="Times New Roman" w:eastAsia="仿宋" w:cs="Times New Roman"/>
                <w:b/>
                <w:bCs/>
                <w:color w:val="auto"/>
                <w:highlight w:val="none"/>
                <w:u w:val="none"/>
              </w:rPr>
              <w:t>实际建设</w:t>
            </w:r>
          </w:p>
        </w:tc>
        <w:tc>
          <w:tcPr>
            <w:tcW w:w="4061" w:type="dxa"/>
            <w:tcBorders>
              <w:tl2br w:val="nil"/>
              <w:tr2bl w:val="nil"/>
            </w:tcBorders>
            <w:vAlign w:val="center"/>
          </w:tcPr>
          <w:p>
            <w:pPr>
              <w:pStyle w:val="31"/>
              <w:rPr>
                <w:rFonts w:hint="default" w:ascii="Times New Roman" w:hAnsi="Times New Roman" w:eastAsia="仿宋" w:cs="Times New Roman"/>
                <w:b/>
                <w:bCs/>
                <w:color w:val="auto"/>
                <w:highlight w:val="none"/>
                <w:u w:val="none"/>
              </w:rPr>
            </w:pPr>
            <w:r>
              <w:rPr>
                <w:rFonts w:hint="default" w:ascii="Times New Roman" w:hAnsi="Times New Roman" w:eastAsia="仿宋" w:cs="Times New Roman"/>
                <w:b/>
                <w:bCs/>
                <w:color w:val="auto"/>
                <w:highlight w:val="none"/>
                <w:u w:val="none"/>
              </w:rPr>
              <w:t>变更影响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4" w:type="dxa"/>
            <w:tcBorders>
              <w:tl2br w:val="nil"/>
              <w:tr2bl w:val="nil"/>
            </w:tcBorders>
            <w:vAlign w:val="center"/>
          </w:tcPr>
          <w:p>
            <w:pPr>
              <w:pStyle w:val="31"/>
              <w:rPr>
                <w:rFonts w:hint="default" w:ascii="Times New Roman" w:hAnsi="Times New Roman" w:eastAsia="仿宋" w:cs="Times New Roman"/>
                <w:b/>
                <w:bCs/>
                <w:color w:val="auto"/>
                <w:highlight w:val="none"/>
                <w:u w:val="none"/>
              </w:rPr>
            </w:pPr>
            <w:r>
              <w:rPr>
                <w:rFonts w:hint="eastAsia" w:eastAsia="仿宋" w:cs="Times New Roman"/>
                <w:b w:val="0"/>
                <w:bCs w:val="0"/>
                <w:color w:val="auto"/>
                <w:highlight w:val="none"/>
                <w:u w:val="none"/>
                <w:lang w:val="en-US" w:eastAsia="zh-CN"/>
              </w:rPr>
              <w:t>油烟净化器</w:t>
            </w:r>
          </w:p>
        </w:tc>
        <w:tc>
          <w:tcPr>
            <w:tcW w:w="2277" w:type="dxa"/>
            <w:tcBorders>
              <w:tl2br w:val="nil"/>
              <w:tr2bl w:val="nil"/>
            </w:tcBorders>
            <w:vAlign w:val="center"/>
          </w:tcPr>
          <w:p>
            <w:pPr>
              <w:pStyle w:val="31"/>
              <w:rPr>
                <w:rFonts w:hint="default" w:ascii="Times New Roman" w:hAnsi="Times New Roman" w:eastAsia="仿宋" w:cs="Times New Roman"/>
                <w:b/>
                <w:bCs/>
                <w:color w:val="auto"/>
                <w:highlight w:val="none"/>
                <w:u w:val="none"/>
              </w:rPr>
            </w:pPr>
            <w:r>
              <w:rPr>
                <w:rFonts w:hint="eastAsia" w:eastAsia="仿宋" w:cs="Times New Roman"/>
                <w:b w:val="0"/>
                <w:bCs w:val="0"/>
                <w:color w:val="auto"/>
                <w:highlight w:val="none"/>
                <w:u w:val="none"/>
                <w:lang w:val="en-US" w:eastAsia="zh-CN"/>
              </w:rPr>
              <w:t>抽油烟机</w:t>
            </w:r>
          </w:p>
        </w:tc>
        <w:tc>
          <w:tcPr>
            <w:tcW w:w="4061" w:type="dxa"/>
            <w:tcBorders>
              <w:tl2br w:val="nil"/>
              <w:tr2bl w:val="nil"/>
            </w:tcBorders>
            <w:vAlign w:val="center"/>
          </w:tcPr>
          <w:p>
            <w:pPr>
              <w:pStyle w:val="31"/>
              <w:rPr>
                <w:rFonts w:hint="default" w:ascii="Times New Roman" w:hAnsi="Times New Roman" w:eastAsia="仿宋" w:cs="Times New Roman"/>
                <w:b/>
                <w:bCs/>
                <w:color w:val="auto"/>
                <w:highlight w:val="none"/>
                <w:u w:val="none"/>
                <w:lang w:val="en-US"/>
              </w:rPr>
            </w:pPr>
            <w:r>
              <w:rPr>
                <w:rFonts w:hint="default" w:ascii="Times New Roman" w:hAnsi="Times New Roman" w:eastAsia="仿宋" w:cs="Times New Roman"/>
                <w:b w:val="0"/>
                <w:bCs w:val="0"/>
                <w:color w:val="auto"/>
                <w:highlight w:val="none"/>
                <w:u w:val="none"/>
                <w:lang w:val="en-US" w:eastAsia="zh-CN"/>
              </w:rPr>
              <w:t>本项目运营期劳动定远8人，站内用餐</w:t>
            </w:r>
            <w:r>
              <w:rPr>
                <w:rFonts w:hint="eastAsia" w:eastAsia="仿宋" w:cs="Times New Roman"/>
                <w:b w:val="0"/>
                <w:bCs w:val="0"/>
                <w:color w:val="auto"/>
                <w:highlight w:val="none"/>
                <w:u w:val="none"/>
                <w:lang w:val="en-US" w:eastAsia="zh-CN"/>
              </w:rPr>
              <w:t>8</w:t>
            </w:r>
            <w:r>
              <w:rPr>
                <w:rFonts w:hint="default" w:ascii="Times New Roman" w:hAnsi="Times New Roman" w:eastAsia="仿宋" w:cs="Times New Roman"/>
                <w:b w:val="0"/>
                <w:bCs w:val="0"/>
                <w:color w:val="auto"/>
                <w:highlight w:val="none"/>
                <w:u w:val="none"/>
                <w:lang w:val="en-US" w:eastAsia="zh-CN"/>
              </w:rPr>
              <w:t>人左右，采用电磁炉加热的方式，过程中不会产生明火，属于家庭式作业，由于人数不多，针对食堂油烟，设置抽油烟机即可。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4" w:type="dxa"/>
            <w:tcBorders>
              <w:tl2br w:val="nil"/>
              <w:tr2bl w:val="nil"/>
            </w:tcBorders>
            <w:vAlign w:val="center"/>
          </w:tcPr>
          <w:p>
            <w:pPr>
              <w:pStyle w:val="31"/>
              <w:rPr>
                <w:rFonts w:hint="default" w:ascii="Times New Roman" w:hAnsi="Times New Roman" w:eastAsia="仿宋" w:cs="Times New Roman"/>
                <w:color w:val="auto"/>
                <w:highlight w:val="none"/>
                <w:u w:val="none"/>
                <w:lang w:val="en-US" w:eastAsia="zh-CN"/>
              </w:rPr>
            </w:pPr>
            <w:r>
              <w:rPr>
                <w:rFonts w:hint="default" w:ascii="Times New Roman" w:hAnsi="Times New Roman" w:eastAsia="仿宋" w:cs="Times New Roman"/>
                <w:color w:val="auto"/>
                <w:sz w:val="21"/>
                <w:szCs w:val="21"/>
                <w:highlight w:val="none"/>
                <w:u w:val="none"/>
                <w:lang w:val="en-US" w:eastAsia="zh-CN"/>
              </w:rPr>
              <w:t>备用柴油发电机</w:t>
            </w:r>
          </w:p>
        </w:tc>
        <w:tc>
          <w:tcPr>
            <w:tcW w:w="2277" w:type="dxa"/>
            <w:tcBorders>
              <w:tl2br w:val="nil"/>
              <w:tr2bl w:val="nil"/>
            </w:tcBorders>
            <w:vAlign w:val="center"/>
          </w:tcPr>
          <w:p>
            <w:pPr>
              <w:pStyle w:val="31"/>
              <w:rPr>
                <w:rFonts w:hint="default" w:ascii="Times New Roman" w:hAnsi="Times New Roman" w:eastAsia="仿宋" w:cs="Times New Roman"/>
                <w:color w:val="auto"/>
                <w:highlight w:val="none"/>
                <w:u w:val="none"/>
                <w:lang w:val="en-US"/>
              </w:rPr>
            </w:pPr>
            <w:r>
              <w:rPr>
                <w:rFonts w:hint="default" w:ascii="Times New Roman" w:hAnsi="Times New Roman" w:eastAsia="仿宋" w:cs="Times New Roman"/>
                <w:color w:val="auto"/>
                <w:sz w:val="21"/>
                <w:szCs w:val="21"/>
                <w:highlight w:val="none"/>
                <w:u w:val="none"/>
                <w:lang w:val="en-US" w:eastAsia="zh-CN"/>
              </w:rPr>
              <w:t>未设置</w:t>
            </w:r>
          </w:p>
        </w:tc>
        <w:tc>
          <w:tcPr>
            <w:tcW w:w="4061" w:type="dxa"/>
            <w:tcBorders>
              <w:tl2br w:val="nil"/>
              <w:tr2bl w:val="nil"/>
            </w:tcBorders>
            <w:vAlign w:val="center"/>
          </w:tcPr>
          <w:p>
            <w:pPr>
              <w:pStyle w:val="31"/>
              <w:rPr>
                <w:rFonts w:hint="default" w:ascii="Times New Roman" w:hAnsi="Times New Roman" w:eastAsia="仿宋" w:cs="Times New Roman"/>
                <w:color w:val="auto"/>
                <w:highlight w:val="none"/>
                <w:u w:val="none"/>
                <w:lang w:val="en-US" w:eastAsia="zh-CN"/>
              </w:rPr>
            </w:pPr>
            <w:r>
              <w:rPr>
                <w:rFonts w:hint="default" w:ascii="Times New Roman" w:hAnsi="Times New Roman" w:eastAsia="仿宋" w:cs="Times New Roman"/>
                <w:color w:val="auto"/>
                <w:highlight w:val="none"/>
                <w:u w:val="none"/>
                <w:lang w:val="en-US" w:eastAsia="zh-CN"/>
              </w:rPr>
              <w:t>区域内供电稳定，暂时不设置备用柴油发电机，且减少了废气的排放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4" w:type="dxa"/>
            <w:tcBorders>
              <w:tl2br w:val="nil"/>
              <w:tr2bl w:val="nil"/>
            </w:tcBorders>
            <w:vAlign w:val="center"/>
          </w:tcPr>
          <w:p>
            <w:pPr>
              <w:pStyle w:val="31"/>
              <w:rPr>
                <w:rFonts w:hint="default" w:ascii="Times New Roman" w:hAnsi="Times New Roman" w:eastAsia="仿宋" w:cs="Times New Roman"/>
                <w:color w:val="auto"/>
                <w:highlight w:val="none"/>
                <w:u w:val="none"/>
                <w:lang w:val="en-US" w:eastAsia="zh-CN"/>
              </w:rPr>
            </w:pPr>
            <w:r>
              <w:rPr>
                <w:rFonts w:hint="default" w:ascii="Times New Roman" w:hAnsi="Times New Roman" w:eastAsia="仿宋" w:cs="Times New Roman"/>
                <w:color w:val="auto"/>
                <w:highlight w:val="none"/>
                <w:u w:val="none"/>
              </w:rPr>
              <w:t>厨房废水经隔油池处理后排入化粪池</w:t>
            </w:r>
          </w:p>
        </w:tc>
        <w:tc>
          <w:tcPr>
            <w:tcW w:w="2277" w:type="dxa"/>
            <w:tcBorders>
              <w:tl2br w:val="nil"/>
              <w:tr2bl w:val="nil"/>
            </w:tcBorders>
            <w:vAlign w:val="center"/>
          </w:tcPr>
          <w:p>
            <w:pPr>
              <w:pStyle w:val="31"/>
              <w:rPr>
                <w:rFonts w:hint="default" w:ascii="Times New Roman" w:hAnsi="Times New Roman" w:eastAsia="仿宋" w:cs="Times New Roman"/>
                <w:color w:val="auto"/>
                <w:highlight w:val="none"/>
                <w:u w:val="none"/>
                <w:lang w:val="en-US" w:eastAsia="zh-CN"/>
              </w:rPr>
            </w:pPr>
            <w:r>
              <w:rPr>
                <w:rFonts w:hint="default" w:ascii="Times New Roman" w:hAnsi="Times New Roman" w:eastAsia="仿宋" w:cs="Times New Roman"/>
                <w:color w:val="auto"/>
                <w:highlight w:val="none"/>
                <w:u w:val="none"/>
              </w:rPr>
              <w:t>未设置隔油池</w:t>
            </w:r>
          </w:p>
        </w:tc>
        <w:tc>
          <w:tcPr>
            <w:tcW w:w="4061" w:type="dxa"/>
            <w:tcBorders>
              <w:tl2br w:val="nil"/>
              <w:tr2bl w:val="nil"/>
            </w:tcBorders>
            <w:vAlign w:val="center"/>
          </w:tcPr>
          <w:p>
            <w:pPr>
              <w:pStyle w:val="31"/>
              <w:rPr>
                <w:rFonts w:hint="default" w:ascii="Times New Roman" w:hAnsi="Times New Roman" w:eastAsia="仿宋" w:cs="Times New Roman"/>
                <w:color w:val="auto"/>
                <w:highlight w:val="none"/>
                <w:u w:val="none"/>
                <w:lang w:val="en-US" w:eastAsia="zh-CN"/>
              </w:rPr>
            </w:pPr>
            <w:r>
              <w:rPr>
                <w:rFonts w:hint="default" w:ascii="Times New Roman" w:hAnsi="Times New Roman" w:eastAsia="仿宋" w:cs="Times New Roman"/>
                <w:color w:val="auto"/>
                <w:highlight w:val="none"/>
                <w:u w:val="none"/>
                <w:lang w:val="en-US" w:eastAsia="zh-CN"/>
              </w:rPr>
              <w:t>由于站内用餐人数较少，</w:t>
            </w:r>
            <w:r>
              <w:rPr>
                <w:rFonts w:hint="eastAsia" w:eastAsia="仿宋" w:cs="Times New Roman"/>
                <w:color w:val="auto"/>
                <w:highlight w:val="none"/>
                <w:u w:val="none"/>
                <w:lang w:val="en-US" w:eastAsia="zh-CN"/>
              </w:rPr>
              <w:t>8</w:t>
            </w:r>
            <w:r>
              <w:rPr>
                <w:rFonts w:hint="default" w:ascii="Times New Roman" w:hAnsi="Times New Roman" w:eastAsia="仿宋" w:cs="Times New Roman"/>
                <w:color w:val="auto"/>
                <w:highlight w:val="none"/>
                <w:u w:val="none"/>
                <w:lang w:val="en-US" w:eastAsia="zh-CN"/>
              </w:rPr>
              <w:t>人左右，产生厨房废水较少，且经检测，化粪池排放口各项检测因子均达标，故接合经济效益，厨房废水处理未设置隔油池。</w:t>
            </w:r>
          </w:p>
        </w:tc>
      </w:tr>
    </w:tbl>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本项目建设项目的性质、规模、地点、采用的生产工艺无重大变动情况，与环评一致，纳入竣工环境保护验收管理。</w:t>
      </w:r>
    </w:p>
    <w:p>
      <w:pPr>
        <w:topLinePunct w:val="0"/>
        <w:ind w:firstLine="562"/>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三、环境保护设施建设情况</w:t>
      </w:r>
    </w:p>
    <w:p>
      <w:pPr>
        <w:topLinePunct w:val="0"/>
        <w:ind w:firstLine="536"/>
        <w:rPr>
          <w:rFonts w:hint="default" w:ascii="Times New Roman" w:hAnsi="Times New Roman" w:eastAsia="仿宋" w:cs="Times New Roman"/>
          <w:color w:val="auto"/>
          <w:spacing w:val="-6"/>
          <w:sz w:val="28"/>
          <w:highlight w:val="none"/>
        </w:rPr>
      </w:pPr>
      <w:r>
        <w:rPr>
          <w:rFonts w:hint="default" w:ascii="Times New Roman" w:hAnsi="Times New Roman" w:eastAsia="仿宋" w:cs="Times New Roman"/>
          <w:color w:val="auto"/>
          <w:spacing w:val="-6"/>
          <w:sz w:val="28"/>
          <w:highlight w:val="none"/>
        </w:rPr>
        <w:t>1、废水</w:t>
      </w:r>
    </w:p>
    <w:p>
      <w:pPr>
        <w:pStyle w:val="14"/>
        <w:rPr>
          <w:rFonts w:hint="default" w:ascii="Times New Roman" w:hAnsi="Times New Roman" w:cs="Times New Roman"/>
          <w:color w:val="auto"/>
          <w:sz w:val="28"/>
          <w:szCs w:val="28"/>
          <w:highlight w:val="none"/>
        </w:rPr>
      </w:pPr>
      <w:r>
        <w:rPr>
          <w:rFonts w:hint="default" w:ascii="Times New Roman" w:hAnsi="Times New Roman" w:eastAsia="仿宋" w:cs="Times New Roman"/>
          <w:color w:val="auto"/>
          <w:sz w:val="28"/>
          <w:szCs w:val="28"/>
          <w:highlight w:val="none"/>
          <w:u w:val="none"/>
        </w:rPr>
        <w:t>项目区域目前已铺设有污水管网。项目员工生活废水、公厕废水经化粪池处理</w:t>
      </w:r>
      <w:r>
        <w:rPr>
          <w:rFonts w:hint="eastAsia" w:eastAsia="仿宋" w:cs="Times New Roman"/>
          <w:color w:val="auto"/>
          <w:sz w:val="28"/>
          <w:szCs w:val="28"/>
          <w:highlight w:val="none"/>
          <w:u w:val="none"/>
          <w:lang w:eastAsia="zh-CN"/>
        </w:rPr>
        <w:t>后排入市政管网，</w:t>
      </w:r>
      <w:r>
        <w:rPr>
          <w:rFonts w:hint="default" w:ascii="Times New Roman" w:hAnsi="Times New Roman" w:eastAsia="仿宋" w:cs="Times New Roman"/>
          <w:color w:val="auto"/>
          <w:sz w:val="28"/>
          <w:szCs w:val="28"/>
          <w:highlight w:val="none"/>
          <w:u w:val="none"/>
        </w:rPr>
        <w:t>场地冲洗废水经隔油沉淀池处理后接入市政管网</w:t>
      </w:r>
      <w:r>
        <w:rPr>
          <w:rFonts w:hint="eastAsia" w:eastAsia="仿宋" w:cs="Times New Roman"/>
          <w:color w:val="auto"/>
          <w:sz w:val="28"/>
          <w:szCs w:val="28"/>
          <w:highlight w:val="none"/>
          <w:u w:val="none"/>
          <w:lang w:eastAsia="zh-CN"/>
        </w:rPr>
        <w:t>，</w:t>
      </w:r>
      <w:r>
        <w:rPr>
          <w:rFonts w:hint="default" w:ascii="Times New Roman" w:hAnsi="Times New Roman" w:eastAsia="仿宋" w:cs="Times New Roman"/>
          <w:color w:val="auto"/>
          <w:sz w:val="28"/>
          <w:szCs w:val="28"/>
          <w:highlight w:val="none"/>
          <w:u w:val="none"/>
        </w:rPr>
        <w:t>初期雨水</w:t>
      </w:r>
      <w:r>
        <w:rPr>
          <w:rFonts w:hint="eastAsia" w:eastAsia="仿宋" w:cs="Times New Roman"/>
          <w:color w:val="auto"/>
          <w:sz w:val="28"/>
          <w:szCs w:val="28"/>
          <w:highlight w:val="none"/>
          <w:u w:val="none"/>
          <w:lang w:eastAsia="zh-CN"/>
        </w:rPr>
        <w:t>及洗车废水经沉淀池处理后排入市政管网</w:t>
      </w:r>
      <w:r>
        <w:rPr>
          <w:rFonts w:hint="default" w:ascii="Times New Roman" w:hAnsi="Times New Roman" w:eastAsia="仿宋" w:cs="Times New Roman"/>
          <w:color w:val="auto"/>
          <w:sz w:val="28"/>
          <w:szCs w:val="28"/>
          <w:highlight w:val="none"/>
          <w:lang w:val="en-US" w:eastAsia="zh-CN"/>
        </w:rPr>
        <w:t>。</w:t>
      </w:r>
    </w:p>
    <w:p>
      <w:pPr>
        <w:pStyle w:val="34"/>
        <w:bidi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表3</w:t>
      </w:r>
      <w:r>
        <w:rPr>
          <w:rFonts w:hint="default" w:ascii="Times New Roman" w:hAnsi="Times New Roman" w:eastAsia="仿宋" w:cs="Times New Roman"/>
          <w:color w:val="auto"/>
          <w:highlight w:val="none"/>
          <w:lang w:val="en-US" w:eastAsia="zh-CN"/>
        </w:rPr>
        <w:t>.1-1：</w:t>
      </w:r>
      <w:r>
        <w:rPr>
          <w:rFonts w:hint="default" w:ascii="Times New Roman" w:hAnsi="Times New Roman" w:eastAsia="仿宋" w:cs="Times New Roman"/>
          <w:color w:val="auto"/>
          <w:highlight w:val="none"/>
        </w:rPr>
        <w:t>废水排放及治理设施</w:t>
      </w:r>
    </w:p>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248"/>
        <w:gridCol w:w="2652"/>
        <w:gridCol w:w="28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1" w:hRule="exact"/>
          <w:jc w:val="center"/>
        </w:trPr>
        <w:tc>
          <w:tcPr>
            <w:tcW w:w="1591" w:type="dxa"/>
            <w:noWrap w:val="0"/>
            <w:vAlign w:val="center"/>
          </w:tcPr>
          <w:p>
            <w:pPr>
              <w:wordWrap/>
              <w:adjustRightInd/>
              <w:snapToGrid/>
              <w:spacing w:line="240" w:lineRule="auto"/>
              <w:ind w:firstLine="0" w:firstLineChars="0"/>
              <w:jc w:val="center"/>
              <w:rPr>
                <w:rFonts w:hint="eastAsia"/>
                <w:b/>
                <w:bCs/>
                <w:color w:val="auto"/>
                <w:sz w:val="21"/>
                <w:szCs w:val="21"/>
                <w:highlight w:val="none"/>
                <w:lang w:val="zh-CN"/>
              </w:rPr>
            </w:pPr>
            <w:r>
              <w:rPr>
                <w:rFonts w:hint="eastAsia"/>
                <w:b/>
                <w:bCs/>
                <w:color w:val="auto"/>
                <w:sz w:val="21"/>
                <w:szCs w:val="21"/>
                <w:highlight w:val="none"/>
                <w:lang w:val="zh-CN"/>
              </w:rPr>
              <w:t>废水类别</w:t>
            </w:r>
          </w:p>
        </w:tc>
        <w:tc>
          <w:tcPr>
            <w:tcW w:w="1248" w:type="dxa"/>
            <w:noWrap w:val="0"/>
            <w:vAlign w:val="center"/>
          </w:tcPr>
          <w:p>
            <w:pPr>
              <w:wordWrap/>
              <w:adjustRightInd/>
              <w:snapToGrid/>
              <w:spacing w:line="240" w:lineRule="auto"/>
              <w:ind w:firstLine="0" w:firstLineChars="0"/>
              <w:jc w:val="center"/>
              <w:rPr>
                <w:b/>
                <w:bCs/>
                <w:color w:val="auto"/>
                <w:sz w:val="21"/>
                <w:szCs w:val="21"/>
                <w:highlight w:val="none"/>
                <w:lang w:val="zh-CN"/>
              </w:rPr>
            </w:pPr>
            <w:r>
              <w:rPr>
                <w:b/>
                <w:bCs/>
                <w:color w:val="auto"/>
                <w:sz w:val="21"/>
                <w:szCs w:val="21"/>
                <w:highlight w:val="none"/>
                <w:lang w:val="zh-CN"/>
              </w:rPr>
              <w:t>排放</w:t>
            </w:r>
            <w:r>
              <w:rPr>
                <w:rFonts w:hint="eastAsia"/>
                <w:b/>
                <w:bCs/>
                <w:color w:val="auto"/>
                <w:sz w:val="21"/>
                <w:szCs w:val="21"/>
                <w:highlight w:val="none"/>
                <w:lang w:val="zh-CN"/>
              </w:rPr>
              <w:t>规律</w:t>
            </w:r>
          </w:p>
        </w:tc>
        <w:tc>
          <w:tcPr>
            <w:tcW w:w="2652" w:type="dxa"/>
            <w:noWrap w:val="0"/>
            <w:vAlign w:val="center"/>
          </w:tcPr>
          <w:p>
            <w:pPr>
              <w:wordWrap/>
              <w:adjustRightInd/>
              <w:snapToGrid/>
              <w:spacing w:line="240" w:lineRule="auto"/>
              <w:ind w:firstLine="0" w:firstLineChars="0"/>
              <w:jc w:val="center"/>
              <w:rPr>
                <w:b/>
                <w:bCs/>
                <w:color w:val="auto"/>
                <w:sz w:val="21"/>
                <w:szCs w:val="21"/>
                <w:highlight w:val="none"/>
                <w:lang w:val="zh-CN"/>
              </w:rPr>
            </w:pPr>
            <w:r>
              <w:rPr>
                <w:rFonts w:hint="eastAsia"/>
                <w:b/>
                <w:bCs/>
                <w:color w:val="auto"/>
                <w:sz w:val="21"/>
                <w:szCs w:val="21"/>
                <w:highlight w:val="none"/>
                <w:lang w:val="zh-CN"/>
              </w:rPr>
              <w:t>治理设备</w:t>
            </w:r>
          </w:p>
        </w:tc>
        <w:tc>
          <w:tcPr>
            <w:tcW w:w="2815" w:type="dxa"/>
            <w:noWrap w:val="0"/>
            <w:vAlign w:val="center"/>
          </w:tcPr>
          <w:p>
            <w:pPr>
              <w:wordWrap/>
              <w:adjustRightInd/>
              <w:snapToGrid/>
              <w:spacing w:line="240" w:lineRule="auto"/>
              <w:ind w:firstLine="0" w:firstLineChars="0"/>
              <w:jc w:val="center"/>
              <w:rPr>
                <w:b/>
                <w:bCs/>
                <w:color w:val="auto"/>
                <w:sz w:val="21"/>
                <w:szCs w:val="21"/>
                <w:highlight w:val="none"/>
                <w:lang w:val="zh-CN"/>
              </w:rPr>
            </w:pPr>
            <w:r>
              <w:rPr>
                <w:rFonts w:hint="eastAsia"/>
                <w:b/>
                <w:bCs/>
                <w:color w:val="auto"/>
                <w:sz w:val="21"/>
                <w:szCs w:val="21"/>
                <w:highlight w:val="none"/>
                <w:lang w:val="zh-CN"/>
              </w:rPr>
              <w:t>排放去向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1591" w:type="dxa"/>
            <w:noWrap w:val="0"/>
            <w:vAlign w:val="center"/>
          </w:tcPr>
          <w:p>
            <w:pPr>
              <w:wordWrap/>
              <w:adjustRightInd/>
              <w:snapToGrid/>
              <w:spacing w:line="240" w:lineRule="auto"/>
              <w:ind w:firstLine="0" w:firstLineChars="0"/>
              <w:jc w:val="center"/>
              <w:rPr>
                <w:color w:val="auto"/>
                <w:sz w:val="21"/>
                <w:szCs w:val="21"/>
                <w:highlight w:val="none"/>
                <w:lang w:val="zh-CN"/>
              </w:rPr>
            </w:pPr>
            <w:r>
              <w:rPr>
                <w:color w:val="auto"/>
                <w:sz w:val="21"/>
                <w:szCs w:val="21"/>
                <w:highlight w:val="none"/>
                <w:lang w:val="zh-CN"/>
              </w:rPr>
              <w:t>生活污水</w:t>
            </w:r>
          </w:p>
        </w:tc>
        <w:tc>
          <w:tcPr>
            <w:tcW w:w="1248" w:type="dxa"/>
            <w:noWrap w:val="0"/>
            <w:vAlign w:val="center"/>
          </w:tcPr>
          <w:p>
            <w:pPr>
              <w:wordWrap/>
              <w:adjustRightInd/>
              <w:snapToGrid/>
              <w:spacing w:line="240" w:lineRule="auto"/>
              <w:ind w:firstLine="0" w:firstLineChars="0"/>
              <w:jc w:val="center"/>
              <w:rPr>
                <w:color w:val="auto"/>
                <w:sz w:val="21"/>
                <w:szCs w:val="21"/>
                <w:highlight w:val="none"/>
                <w:lang w:val="zh-CN"/>
              </w:rPr>
            </w:pPr>
            <w:r>
              <w:rPr>
                <w:rFonts w:hint="eastAsia"/>
                <w:color w:val="auto"/>
                <w:sz w:val="21"/>
                <w:szCs w:val="21"/>
                <w:highlight w:val="none"/>
                <w:lang w:val="zh-CN"/>
              </w:rPr>
              <w:t>间断</w:t>
            </w:r>
          </w:p>
        </w:tc>
        <w:tc>
          <w:tcPr>
            <w:tcW w:w="2652" w:type="dxa"/>
            <w:noWrap w:val="0"/>
            <w:vAlign w:val="center"/>
          </w:tcPr>
          <w:p>
            <w:pPr>
              <w:wordWrap/>
              <w:adjustRightInd/>
              <w:snapToGrid/>
              <w:spacing w:line="240" w:lineRule="auto"/>
              <w:ind w:firstLine="0" w:firstLineChars="0"/>
              <w:jc w:val="center"/>
              <w:rPr>
                <w:color w:val="auto"/>
                <w:sz w:val="21"/>
                <w:szCs w:val="21"/>
                <w:highlight w:val="none"/>
                <w:lang w:val="zh-CN"/>
              </w:rPr>
            </w:pPr>
            <w:r>
              <w:rPr>
                <w:color w:val="auto"/>
                <w:sz w:val="21"/>
                <w:szCs w:val="21"/>
                <w:highlight w:val="none"/>
                <w:lang w:val="zh-CN"/>
              </w:rPr>
              <w:t>化粪池</w:t>
            </w:r>
          </w:p>
        </w:tc>
        <w:tc>
          <w:tcPr>
            <w:tcW w:w="2815" w:type="dxa"/>
            <w:vMerge w:val="restart"/>
            <w:noWrap w:val="0"/>
            <w:vAlign w:val="center"/>
          </w:tcPr>
          <w:p>
            <w:pPr>
              <w:wordWrap/>
              <w:adjustRightInd/>
              <w:snapToGrid/>
              <w:spacing w:line="240" w:lineRule="auto"/>
              <w:ind w:firstLine="0" w:firstLineChars="0"/>
              <w:jc w:val="center"/>
              <w:rPr>
                <w:rFonts w:eastAsia="等线"/>
                <w:color w:val="auto"/>
                <w:sz w:val="21"/>
                <w:szCs w:val="21"/>
                <w:highlight w:val="none"/>
                <w:lang w:val="zh-CN"/>
              </w:rPr>
            </w:pPr>
            <w:r>
              <w:rPr>
                <w:rFonts w:hint="eastAsia"/>
                <w:bCs/>
                <w:color w:val="auto"/>
                <w:sz w:val="21"/>
                <w:szCs w:val="21"/>
                <w:highlight w:val="none"/>
              </w:rPr>
              <w:t>保靖县污水处理厂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591" w:type="dxa"/>
            <w:noWrap w:val="0"/>
            <w:vAlign w:val="center"/>
          </w:tcPr>
          <w:p>
            <w:pPr>
              <w:wordWrap/>
              <w:adjustRightInd/>
              <w:snapToGrid/>
              <w:spacing w:line="240" w:lineRule="auto"/>
              <w:ind w:firstLine="0" w:firstLineChars="0"/>
              <w:jc w:val="center"/>
              <w:rPr>
                <w:color w:val="auto"/>
                <w:sz w:val="21"/>
                <w:szCs w:val="21"/>
                <w:highlight w:val="none"/>
                <w:lang w:val="zh-CN"/>
              </w:rPr>
            </w:pPr>
            <w:r>
              <w:rPr>
                <w:rFonts w:hint="eastAsia"/>
                <w:color w:val="auto"/>
                <w:sz w:val="21"/>
                <w:szCs w:val="21"/>
                <w:highlight w:val="none"/>
                <w:lang w:val="zh-CN"/>
              </w:rPr>
              <w:t>初期雨水、冲洗废水</w:t>
            </w:r>
          </w:p>
        </w:tc>
        <w:tc>
          <w:tcPr>
            <w:tcW w:w="1248" w:type="dxa"/>
            <w:noWrap w:val="0"/>
            <w:vAlign w:val="center"/>
          </w:tcPr>
          <w:p>
            <w:pPr>
              <w:wordWrap/>
              <w:adjustRightInd/>
              <w:snapToGrid/>
              <w:spacing w:line="240" w:lineRule="auto"/>
              <w:ind w:firstLine="0" w:firstLineChars="0"/>
              <w:jc w:val="center"/>
              <w:rPr>
                <w:color w:val="auto"/>
                <w:sz w:val="21"/>
                <w:szCs w:val="21"/>
                <w:highlight w:val="none"/>
                <w:lang w:val="zh-CN"/>
              </w:rPr>
            </w:pPr>
            <w:r>
              <w:rPr>
                <w:rFonts w:hint="eastAsia"/>
                <w:color w:val="auto"/>
                <w:sz w:val="21"/>
                <w:szCs w:val="21"/>
                <w:highlight w:val="none"/>
                <w:lang w:val="zh-CN"/>
              </w:rPr>
              <w:t>间断</w:t>
            </w:r>
          </w:p>
        </w:tc>
        <w:tc>
          <w:tcPr>
            <w:tcW w:w="2652" w:type="dxa"/>
            <w:noWrap w:val="0"/>
            <w:vAlign w:val="center"/>
          </w:tcPr>
          <w:p>
            <w:pPr>
              <w:wordWrap/>
              <w:adjustRightInd/>
              <w:snapToGrid/>
              <w:spacing w:line="240" w:lineRule="auto"/>
              <w:ind w:firstLine="0" w:firstLineChars="0"/>
              <w:jc w:val="center"/>
              <w:rPr>
                <w:color w:val="auto"/>
                <w:sz w:val="21"/>
                <w:szCs w:val="21"/>
                <w:highlight w:val="none"/>
                <w:lang w:val="zh-CN"/>
              </w:rPr>
            </w:pPr>
            <w:r>
              <w:rPr>
                <w:rFonts w:hint="eastAsia"/>
                <w:color w:val="auto"/>
                <w:sz w:val="21"/>
                <w:szCs w:val="21"/>
                <w:highlight w:val="none"/>
                <w:lang w:val="zh-CN"/>
              </w:rPr>
              <w:t>隔油池</w:t>
            </w:r>
          </w:p>
        </w:tc>
        <w:tc>
          <w:tcPr>
            <w:tcW w:w="2815" w:type="dxa"/>
            <w:vMerge w:val="continue"/>
            <w:noWrap w:val="0"/>
            <w:vAlign w:val="center"/>
          </w:tcPr>
          <w:p>
            <w:pPr>
              <w:wordWrap/>
              <w:adjustRightInd/>
              <w:snapToGrid/>
              <w:spacing w:line="240" w:lineRule="auto"/>
              <w:ind w:firstLine="0" w:firstLineChars="0"/>
              <w:jc w:val="center"/>
              <w:rPr>
                <w:rFonts w:eastAsia="等线"/>
                <w:color w:val="auto"/>
                <w:sz w:val="21"/>
                <w:szCs w:val="21"/>
                <w:highlight w:val="none"/>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591" w:type="dxa"/>
            <w:noWrap w:val="0"/>
            <w:vAlign w:val="center"/>
          </w:tcPr>
          <w:p>
            <w:pPr>
              <w:wordWrap/>
              <w:adjustRightInd/>
              <w:snapToGrid/>
              <w:spacing w:line="240" w:lineRule="auto"/>
              <w:ind w:firstLine="0" w:firstLineChars="0"/>
              <w:jc w:val="center"/>
              <w:rPr>
                <w:rFonts w:hint="eastAsia"/>
                <w:color w:val="auto"/>
                <w:sz w:val="21"/>
                <w:szCs w:val="21"/>
                <w:highlight w:val="none"/>
                <w:lang w:val="zh-CN"/>
              </w:rPr>
            </w:pPr>
            <w:r>
              <w:rPr>
                <w:rFonts w:hint="eastAsia"/>
                <w:color w:val="auto"/>
                <w:sz w:val="21"/>
                <w:szCs w:val="21"/>
                <w:highlight w:val="none"/>
                <w:lang w:val="zh-CN"/>
              </w:rPr>
              <w:t>洗车废水</w:t>
            </w:r>
          </w:p>
        </w:tc>
        <w:tc>
          <w:tcPr>
            <w:tcW w:w="1248" w:type="dxa"/>
            <w:noWrap w:val="0"/>
            <w:vAlign w:val="center"/>
          </w:tcPr>
          <w:p>
            <w:pPr>
              <w:wordWrap/>
              <w:adjustRightInd/>
              <w:snapToGrid/>
              <w:spacing w:line="240" w:lineRule="auto"/>
              <w:ind w:firstLine="0" w:firstLineChars="0"/>
              <w:jc w:val="center"/>
              <w:rPr>
                <w:rFonts w:hint="eastAsia"/>
                <w:color w:val="auto"/>
                <w:sz w:val="21"/>
                <w:szCs w:val="21"/>
                <w:highlight w:val="none"/>
                <w:lang w:val="zh-CN"/>
              </w:rPr>
            </w:pPr>
            <w:r>
              <w:rPr>
                <w:rFonts w:hint="eastAsia"/>
                <w:color w:val="auto"/>
                <w:sz w:val="21"/>
                <w:szCs w:val="21"/>
                <w:highlight w:val="none"/>
                <w:lang w:val="zh-CN"/>
              </w:rPr>
              <w:t>间断</w:t>
            </w:r>
          </w:p>
        </w:tc>
        <w:tc>
          <w:tcPr>
            <w:tcW w:w="2652" w:type="dxa"/>
            <w:noWrap w:val="0"/>
            <w:vAlign w:val="center"/>
          </w:tcPr>
          <w:p>
            <w:pPr>
              <w:wordWrap/>
              <w:adjustRightInd/>
              <w:snapToGrid/>
              <w:spacing w:line="240" w:lineRule="auto"/>
              <w:ind w:firstLine="0" w:firstLineChars="0"/>
              <w:jc w:val="center"/>
              <w:rPr>
                <w:rFonts w:hint="eastAsia"/>
                <w:color w:val="auto"/>
                <w:sz w:val="21"/>
                <w:szCs w:val="21"/>
                <w:highlight w:val="none"/>
                <w:lang w:val="zh-CN"/>
              </w:rPr>
            </w:pPr>
            <w:r>
              <w:rPr>
                <w:rFonts w:hint="eastAsia"/>
                <w:color w:val="auto"/>
                <w:sz w:val="21"/>
                <w:szCs w:val="21"/>
                <w:highlight w:val="none"/>
                <w:lang w:val="zh-CN"/>
              </w:rPr>
              <w:t>沉淀池</w:t>
            </w:r>
          </w:p>
        </w:tc>
        <w:tc>
          <w:tcPr>
            <w:tcW w:w="2815" w:type="dxa"/>
            <w:vMerge w:val="continue"/>
            <w:noWrap w:val="0"/>
            <w:vAlign w:val="center"/>
          </w:tcPr>
          <w:p>
            <w:pPr>
              <w:wordWrap/>
              <w:adjustRightInd/>
              <w:snapToGrid/>
              <w:spacing w:line="240" w:lineRule="auto"/>
              <w:ind w:firstLine="0" w:firstLineChars="0"/>
              <w:jc w:val="center"/>
              <w:rPr>
                <w:rFonts w:hint="eastAsia"/>
                <w:color w:val="auto"/>
                <w:sz w:val="21"/>
                <w:szCs w:val="21"/>
                <w:highlight w:val="none"/>
                <w:lang w:val="zh-CN"/>
              </w:rPr>
            </w:pPr>
          </w:p>
        </w:tc>
      </w:tr>
    </w:tbl>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2、废气</w:t>
      </w:r>
    </w:p>
    <w:p>
      <w:pPr>
        <w:wordWrap/>
        <w:rPr>
          <w:rFonts w:hint="eastAsia" w:ascii="仿宋" w:hAnsi="仿宋" w:eastAsia="仿宋" w:cs="仿宋"/>
          <w:color w:val="auto"/>
          <w:sz w:val="28"/>
          <w:szCs w:val="28"/>
          <w:highlight w:val="none"/>
          <w:lang w:eastAsia="zh-CN"/>
        </w:rPr>
      </w:pPr>
      <w:bookmarkStart w:id="0" w:name="_Hlk69565784"/>
      <w:r>
        <w:rPr>
          <w:rFonts w:hint="eastAsia" w:ascii="仿宋" w:hAnsi="仿宋" w:eastAsia="仿宋" w:cs="仿宋"/>
          <w:color w:val="auto"/>
          <w:sz w:val="28"/>
          <w:szCs w:val="28"/>
          <w:highlight w:val="none"/>
        </w:rPr>
        <w:t>运营期废气主要来源于卸油、加油、储油过程中无组织排放的非甲烷总烃废气、机动车尾气、食堂油烟和公厕恶臭</w:t>
      </w:r>
      <w:r>
        <w:rPr>
          <w:rFonts w:hint="eastAsia" w:ascii="仿宋" w:hAnsi="仿宋" w:eastAsia="仿宋" w:cs="仿宋"/>
          <w:color w:val="auto"/>
          <w:sz w:val="28"/>
          <w:szCs w:val="28"/>
          <w:highlight w:val="none"/>
          <w:lang w:eastAsia="zh-CN"/>
        </w:rPr>
        <w:t>。</w:t>
      </w:r>
    </w:p>
    <w:p>
      <w:pPr>
        <w:wordWrap/>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（1）非甲烷总烃废气</w:t>
      </w:r>
    </w:p>
    <w:p>
      <w:pPr>
        <w:wordWrap/>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项目运营期卸油、加油、储油过程中无组织排放的非甲烷总烃废气，</w:t>
      </w:r>
      <w:r>
        <w:rPr>
          <w:rFonts w:hint="eastAsia" w:ascii="仿宋" w:hAnsi="仿宋" w:eastAsia="仿宋" w:cs="仿宋"/>
          <w:color w:val="auto"/>
          <w:sz w:val="28"/>
          <w:szCs w:val="28"/>
          <w:highlight w:val="none"/>
          <w:lang w:eastAsia="zh-CN"/>
        </w:rPr>
        <w:t>中国石化销售股份有限公司湖南湘西石油分公司</w:t>
      </w:r>
      <w:r>
        <w:rPr>
          <w:rFonts w:hint="eastAsia" w:ascii="仿宋" w:hAnsi="仿宋" w:eastAsia="仿宋" w:cs="仿宋"/>
          <w:color w:val="auto"/>
          <w:sz w:val="28"/>
          <w:szCs w:val="28"/>
          <w:highlight w:val="none"/>
        </w:rPr>
        <w:t>安装了油气回收系统；采用密闭卸油方式、埋地式油罐及自封加油机；每个油罐卸油接口均装设快速接头及密封盖措施，并且加油站加强操作人员的业务培训和学习，严格按照行业操作规程作业，从管理和作业上减少排污量。</w:t>
      </w:r>
    </w:p>
    <w:bookmarkEnd w:id="0"/>
    <w:p>
      <w:pPr>
        <w:wordWrap/>
        <w:rPr>
          <w:rFonts w:hint="eastAsia" w:ascii="仿宋" w:hAnsi="仿宋" w:eastAsia="仿宋" w:cs="仿宋"/>
          <w:color w:val="auto"/>
          <w:sz w:val="28"/>
          <w:szCs w:val="28"/>
          <w:highlight w:val="none"/>
        </w:rPr>
      </w:pPr>
      <w:bookmarkStart w:id="1" w:name="_Hlk69565821"/>
      <w:r>
        <w:rPr>
          <w:rFonts w:hint="eastAsia" w:ascii="仿宋" w:hAnsi="仿宋" w:eastAsia="仿宋" w:cs="仿宋"/>
          <w:color w:val="auto"/>
          <w:sz w:val="28"/>
          <w:szCs w:val="28"/>
          <w:highlight w:val="none"/>
        </w:rPr>
        <w:t>（2）汽车尾气</w:t>
      </w:r>
    </w:p>
    <w:p>
      <w:pPr>
        <w:wordWrap/>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进入加油站汽车排放汽车尾气，汽车排放尾气的主要污染物是CO、NO</w:t>
      </w:r>
      <w:r>
        <w:rPr>
          <w:rFonts w:hint="eastAsia" w:ascii="仿宋" w:hAnsi="仿宋" w:eastAsia="仿宋" w:cs="仿宋"/>
          <w:color w:val="auto"/>
          <w:sz w:val="28"/>
          <w:szCs w:val="28"/>
          <w:highlight w:val="none"/>
          <w:vertAlign w:val="subscript"/>
        </w:rPr>
        <w:t>x</w:t>
      </w:r>
      <w:r>
        <w:rPr>
          <w:rFonts w:hint="eastAsia" w:ascii="仿宋" w:hAnsi="仿宋" w:eastAsia="仿宋" w:cs="仿宋"/>
          <w:color w:val="auto"/>
          <w:sz w:val="28"/>
          <w:szCs w:val="28"/>
          <w:highlight w:val="none"/>
        </w:rPr>
        <w:t>、HC，增加了空气中污染物浓度。但汽车停留时间短，车流较少且分散，并且处于地面空旷空间，因此废气产生量小，露天空旷条件很容易扩散，对周围环境及敏感点影响较小。本项目已在厂区内设置限速等警示标志，并加强管理；在加油站周围种植吸附性强的植物，形成绿化屏障，进一步减少汽车尾气对周围环境及敏感点影响。</w:t>
      </w:r>
    </w:p>
    <w:p>
      <w:pPr>
        <w:wordWrap/>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（3）柴油发电机废气</w:t>
      </w:r>
    </w:p>
    <w:p>
      <w:pPr>
        <w:widowControl w:val="0"/>
        <w:wordWrap/>
        <w:adjustRightInd/>
        <w:snapToGrid/>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由于市政供电较为稳定，本加油站暂时未考虑配备备用柴油发电机</w:t>
      </w:r>
      <w:r>
        <w:rPr>
          <w:rFonts w:hint="eastAsia" w:ascii="仿宋" w:hAnsi="仿宋" w:eastAsia="仿宋" w:cs="仿宋"/>
          <w:color w:val="auto"/>
          <w:sz w:val="28"/>
          <w:szCs w:val="28"/>
          <w:highlight w:val="none"/>
        </w:rPr>
        <w:t>。</w:t>
      </w:r>
    </w:p>
    <w:p>
      <w:pPr>
        <w:wordWrap/>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（4）公厕臭气</w:t>
      </w:r>
    </w:p>
    <w:p>
      <w:pPr>
        <w:wordWrap/>
        <w:rPr>
          <w:rFonts w:hint="eastAsia" w:ascii="仿宋" w:hAnsi="仿宋" w:eastAsia="仿宋" w:cs="仿宋"/>
          <w:color w:val="auto"/>
          <w:sz w:val="28"/>
          <w:szCs w:val="28"/>
          <w:highlight w:val="none"/>
          <w:lang w:val="sq-AL"/>
        </w:rPr>
      </w:pPr>
      <w:r>
        <w:rPr>
          <w:rFonts w:hint="eastAsia" w:ascii="仿宋" w:hAnsi="仿宋" w:eastAsia="仿宋" w:cs="仿宋"/>
          <w:color w:val="auto"/>
          <w:sz w:val="28"/>
          <w:szCs w:val="28"/>
          <w:highlight w:val="none"/>
        </w:rPr>
        <w:t>项目公厕会产生臭气，会对环境造成一定的影响。</w:t>
      </w:r>
      <w:r>
        <w:rPr>
          <w:rFonts w:hint="eastAsia" w:ascii="仿宋" w:hAnsi="仿宋" w:eastAsia="仿宋" w:cs="仿宋"/>
          <w:bCs/>
          <w:color w:val="auto"/>
          <w:sz w:val="28"/>
          <w:szCs w:val="28"/>
          <w:highlight w:val="none"/>
          <w:lang w:eastAsia="zh-CN"/>
        </w:rPr>
        <w:t>保靖县农场加油站</w:t>
      </w:r>
      <w:r>
        <w:rPr>
          <w:rFonts w:hint="eastAsia" w:ascii="仿宋" w:hAnsi="仿宋" w:eastAsia="仿宋" w:cs="仿宋"/>
          <w:color w:val="auto"/>
          <w:sz w:val="28"/>
          <w:szCs w:val="28"/>
          <w:highlight w:val="none"/>
        </w:rPr>
        <w:t>加强了公厕的管理：加大清扫保洁力度，公厕定时冲洗，加强通风设施及周边绿化，保持公厕环境清洁，做到便池洁净、无污垢、无堵塞、无滴漏；加强对公厕设施的维护，及时修复公厕门窗、洗手池、水管、照明灯等设施，有效的降低恶臭对内环境的影响</w:t>
      </w:r>
      <w:r>
        <w:rPr>
          <w:rFonts w:hint="eastAsia" w:ascii="仿宋" w:hAnsi="仿宋" w:eastAsia="仿宋" w:cs="仿宋"/>
          <w:color w:val="auto"/>
          <w:sz w:val="28"/>
          <w:szCs w:val="28"/>
          <w:highlight w:val="none"/>
          <w:lang w:val="sq-AL"/>
        </w:rPr>
        <w:t>。</w:t>
      </w:r>
    </w:p>
    <w:p>
      <w:pPr>
        <w:wordWrap/>
        <w:rPr>
          <w:rFonts w:hint="eastAsia" w:ascii="仿宋" w:hAnsi="仿宋" w:eastAsia="仿宋" w:cs="仿宋"/>
          <w:color w:val="auto"/>
          <w:sz w:val="28"/>
          <w:szCs w:val="28"/>
          <w:highlight w:val="none"/>
          <w:lang w:val="sq-AL"/>
        </w:rPr>
      </w:pPr>
      <w:r>
        <w:rPr>
          <w:rFonts w:hint="eastAsia" w:ascii="仿宋" w:hAnsi="仿宋" w:eastAsia="仿宋" w:cs="仿宋"/>
          <w:color w:val="auto"/>
          <w:sz w:val="28"/>
          <w:szCs w:val="28"/>
          <w:highlight w:val="none"/>
          <w:lang w:val="sq-AL"/>
        </w:rPr>
        <w:t>（5）食堂油烟</w:t>
      </w:r>
    </w:p>
    <w:p>
      <w:pPr>
        <w:wordWrap/>
        <w:rPr>
          <w:rFonts w:hint="eastAsia" w:ascii="仿宋" w:hAnsi="仿宋" w:eastAsia="仿宋" w:cs="仿宋"/>
          <w:color w:val="auto"/>
          <w:sz w:val="28"/>
          <w:szCs w:val="28"/>
          <w:highlight w:val="none"/>
          <w:lang w:val="sq-AL"/>
        </w:rPr>
      </w:pPr>
      <w:r>
        <w:rPr>
          <w:rFonts w:hint="eastAsia" w:ascii="仿宋" w:hAnsi="仿宋" w:eastAsia="仿宋" w:cs="仿宋"/>
          <w:color w:val="auto"/>
          <w:sz w:val="28"/>
          <w:szCs w:val="28"/>
          <w:highlight w:val="none"/>
          <w:u w:val="none" w:color="FFFFFF"/>
        </w:rPr>
        <w:t>本项目营运期在加油站设置一个厨房，采用电磁炉加热的方式，过程中不会产生明火，属于家庭式作业，</w:t>
      </w:r>
      <w:bookmarkStart w:id="2" w:name="_Hlk69804076"/>
      <w:r>
        <w:rPr>
          <w:rFonts w:hint="eastAsia" w:ascii="仿宋" w:hAnsi="仿宋" w:eastAsia="仿宋" w:cs="仿宋"/>
          <w:color w:val="auto"/>
          <w:sz w:val="28"/>
          <w:szCs w:val="28"/>
          <w:highlight w:val="none"/>
          <w:u w:val="none" w:color="FFFFFF"/>
        </w:rPr>
        <w:t>食堂油烟经抽油烟机处理引至</w:t>
      </w:r>
      <w:r>
        <w:rPr>
          <w:rFonts w:hint="eastAsia" w:ascii="仿宋" w:hAnsi="仿宋" w:eastAsia="仿宋" w:cs="仿宋"/>
          <w:color w:val="auto"/>
          <w:sz w:val="28"/>
          <w:szCs w:val="28"/>
          <w:highlight w:val="none"/>
          <w:u w:val="none" w:color="FFFFFF"/>
          <w:lang w:eastAsia="zh-CN"/>
        </w:rPr>
        <w:t>屋外</w:t>
      </w:r>
      <w:r>
        <w:rPr>
          <w:rFonts w:hint="eastAsia" w:ascii="仿宋" w:hAnsi="仿宋" w:eastAsia="仿宋" w:cs="仿宋"/>
          <w:color w:val="auto"/>
          <w:sz w:val="28"/>
          <w:szCs w:val="28"/>
          <w:highlight w:val="none"/>
          <w:u w:val="none" w:color="FFFFFF"/>
        </w:rPr>
        <w:t>排放。</w:t>
      </w:r>
    </w:p>
    <w:bookmarkEnd w:id="1"/>
    <w:bookmarkEnd w:id="2"/>
    <w:p>
      <w:pPr>
        <w:wordWrap/>
        <w:rPr>
          <w:rFonts w:hint="eastAsia" w:ascii="仿宋" w:hAnsi="仿宋" w:eastAsia="仿宋" w:cs="仿宋"/>
          <w:color w:val="auto"/>
          <w:sz w:val="28"/>
          <w:szCs w:val="28"/>
          <w:highlight w:val="none"/>
          <w:lang w:val="sq-AL"/>
        </w:rPr>
      </w:pPr>
      <w:r>
        <w:rPr>
          <w:rFonts w:hint="eastAsia" w:ascii="仿宋" w:hAnsi="仿宋" w:eastAsia="仿宋" w:cs="仿宋"/>
          <w:color w:val="auto"/>
          <w:sz w:val="28"/>
          <w:szCs w:val="28"/>
          <w:highlight w:val="none"/>
          <w:lang w:val="sq-AL"/>
        </w:rPr>
        <w:t>项目各处理实施均正常使用，其污染物的产生、治理与排放情况详见下表。</w:t>
      </w:r>
    </w:p>
    <w:p>
      <w:pPr>
        <w:adjustRightInd/>
        <w:ind w:firstLine="0" w:firstLineChars="0"/>
        <w:jc w:val="center"/>
        <w:rPr>
          <w:b/>
          <w:color w:val="auto"/>
          <w:sz w:val="21"/>
          <w:szCs w:val="20"/>
          <w:highlight w:val="none"/>
        </w:rPr>
      </w:pPr>
      <w:r>
        <w:rPr>
          <w:b/>
          <w:color w:val="auto"/>
          <w:sz w:val="21"/>
          <w:szCs w:val="20"/>
          <w:highlight w:val="none"/>
        </w:rPr>
        <w:t>表3</w:t>
      </w:r>
      <w:r>
        <w:rPr>
          <w:rFonts w:hint="eastAsia"/>
          <w:b/>
          <w:color w:val="auto"/>
          <w:sz w:val="21"/>
          <w:szCs w:val="20"/>
          <w:highlight w:val="none"/>
          <w:lang w:val="en-US" w:eastAsia="zh-CN"/>
        </w:rPr>
        <w:t>.2</w:t>
      </w:r>
      <w:r>
        <w:rPr>
          <w:b/>
          <w:color w:val="auto"/>
          <w:sz w:val="21"/>
          <w:szCs w:val="20"/>
          <w:highlight w:val="none"/>
        </w:rPr>
        <w:t>-1</w:t>
      </w:r>
      <w:r>
        <w:rPr>
          <w:rFonts w:hint="eastAsia"/>
          <w:b/>
          <w:color w:val="auto"/>
          <w:sz w:val="21"/>
          <w:szCs w:val="20"/>
          <w:highlight w:val="none"/>
        </w:rPr>
        <w:t>：</w:t>
      </w:r>
      <w:r>
        <w:rPr>
          <w:b/>
          <w:color w:val="auto"/>
          <w:sz w:val="21"/>
          <w:szCs w:val="20"/>
          <w:highlight w:val="none"/>
        </w:rPr>
        <w:t>废气排放源的污染物产生、治理及排放情况</w:t>
      </w:r>
    </w:p>
    <w:tbl>
      <w:tblPr>
        <w:tblStyle w:val="20"/>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336"/>
        <w:gridCol w:w="4601"/>
        <w:gridCol w:w="124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污染源</w:t>
            </w:r>
          </w:p>
        </w:tc>
        <w:tc>
          <w:tcPr>
            <w:tcW w:w="1336" w:type="dxa"/>
            <w:noWrap w:val="0"/>
            <w:vAlign w:val="center"/>
          </w:tcPr>
          <w:p>
            <w:pPr>
              <w:pStyle w:val="31"/>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主要污染物</w:t>
            </w:r>
          </w:p>
        </w:tc>
        <w:tc>
          <w:tcPr>
            <w:tcW w:w="4601" w:type="dxa"/>
            <w:noWrap w:val="0"/>
            <w:vAlign w:val="center"/>
          </w:tcPr>
          <w:p>
            <w:pPr>
              <w:pStyle w:val="31"/>
              <w:rPr>
                <w:rFonts w:hint="eastAsia" w:ascii="仿宋" w:hAnsi="仿宋" w:eastAsia="仿宋" w:cs="仿宋"/>
                <w:b/>
                <w:bCs/>
                <w:color w:val="auto"/>
                <w:highlight w:val="none"/>
              </w:rPr>
            </w:pPr>
            <w:r>
              <w:rPr>
                <w:rFonts w:hint="eastAsia" w:ascii="仿宋" w:hAnsi="仿宋" w:eastAsia="仿宋" w:cs="仿宋"/>
                <w:b/>
                <w:bCs/>
                <w:color w:val="auto"/>
                <w:highlight w:val="none"/>
              </w:rPr>
              <w:t>治理措施</w:t>
            </w:r>
          </w:p>
        </w:tc>
        <w:tc>
          <w:tcPr>
            <w:tcW w:w="1243" w:type="dxa"/>
            <w:noWrap w:val="0"/>
            <w:vAlign w:val="center"/>
          </w:tcPr>
          <w:p>
            <w:pPr>
              <w:pStyle w:val="31"/>
              <w:rPr>
                <w:rFonts w:hint="eastAsia" w:ascii="仿宋" w:hAnsi="仿宋" w:eastAsia="仿宋" w:cs="仿宋"/>
                <w:b/>
                <w:bCs/>
                <w:color w:val="auto"/>
                <w:highlight w:val="none"/>
              </w:rPr>
            </w:pPr>
            <w:r>
              <w:rPr>
                <w:rFonts w:hint="eastAsia" w:ascii="仿宋" w:hAnsi="仿宋" w:eastAsia="仿宋" w:cs="仿宋"/>
                <w:b/>
                <w:bCs/>
                <w:color w:val="auto"/>
                <w:highlight w:val="none"/>
              </w:rPr>
              <w:t>排放去向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非甲烷总烃废气</w:t>
            </w:r>
          </w:p>
        </w:tc>
        <w:tc>
          <w:tcPr>
            <w:tcW w:w="1336"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非甲烷总烃</w:t>
            </w:r>
          </w:p>
        </w:tc>
        <w:tc>
          <w:tcPr>
            <w:tcW w:w="4601"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安装油气回收系统；采用密闭卸油方式、埋地式油罐及自封加油机、规范操作</w:t>
            </w:r>
          </w:p>
        </w:tc>
        <w:tc>
          <w:tcPr>
            <w:tcW w:w="1243"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无组织排放至大气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机动车尾气</w:t>
            </w:r>
          </w:p>
        </w:tc>
        <w:tc>
          <w:tcPr>
            <w:tcW w:w="1336" w:type="dxa"/>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CO</w:t>
            </w:r>
            <w:r>
              <w:rPr>
                <w:rFonts w:hint="eastAsia" w:ascii="仿宋" w:hAnsi="仿宋" w:eastAsia="仿宋" w:cs="仿宋"/>
                <w:color w:val="auto"/>
                <w:highlight w:val="none"/>
                <w:lang w:val="zh-CN"/>
              </w:rPr>
              <w:t>、</w:t>
            </w:r>
            <w:r>
              <w:rPr>
                <w:rFonts w:hint="eastAsia" w:ascii="仿宋" w:hAnsi="仿宋" w:eastAsia="仿宋" w:cs="仿宋"/>
                <w:color w:val="auto"/>
                <w:highlight w:val="none"/>
              </w:rPr>
              <w:t>NO</w:t>
            </w:r>
            <w:r>
              <w:rPr>
                <w:rFonts w:hint="eastAsia" w:ascii="仿宋" w:hAnsi="仿宋" w:eastAsia="仿宋" w:cs="仿宋"/>
                <w:color w:val="auto"/>
                <w:highlight w:val="none"/>
                <w:vertAlign w:val="subscript"/>
              </w:rPr>
              <w:t>X</w:t>
            </w:r>
            <w:r>
              <w:rPr>
                <w:rFonts w:hint="eastAsia" w:ascii="仿宋" w:hAnsi="仿宋" w:eastAsia="仿宋" w:cs="仿宋"/>
                <w:color w:val="auto"/>
                <w:highlight w:val="none"/>
                <w:lang w:val="zh-CN"/>
              </w:rPr>
              <w:t>、</w:t>
            </w:r>
            <w:r>
              <w:rPr>
                <w:rFonts w:hint="eastAsia" w:ascii="仿宋" w:hAnsi="仿宋" w:eastAsia="仿宋" w:cs="仿宋"/>
                <w:color w:val="auto"/>
                <w:highlight w:val="none"/>
              </w:rPr>
              <w:t>THC</w:t>
            </w:r>
          </w:p>
        </w:tc>
        <w:tc>
          <w:tcPr>
            <w:tcW w:w="4601"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设置限速等警示标志，并加强管理、绿化</w:t>
            </w:r>
          </w:p>
        </w:tc>
        <w:tc>
          <w:tcPr>
            <w:tcW w:w="1243"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无组织排放至大气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公厕臭气</w:t>
            </w:r>
          </w:p>
        </w:tc>
        <w:tc>
          <w:tcPr>
            <w:tcW w:w="1336"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氨气</w:t>
            </w:r>
          </w:p>
        </w:tc>
        <w:tc>
          <w:tcPr>
            <w:tcW w:w="4601"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加大清扫保洁力度，公厕定时冲洗，加强通风设施及周边绿化，保持公厕环境清洁</w:t>
            </w:r>
          </w:p>
        </w:tc>
        <w:tc>
          <w:tcPr>
            <w:tcW w:w="1243"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无组织排放至大气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食堂</w:t>
            </w:r>
          </w:p>
        </w:tc>
        <w:tc>
          <w:tcPr>
            <w:tcW w:w="1336"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油烟</w:t>
            </w:r>
          </w:p>
        </w:tc>
        <w:tc>
          <w:tcPr>
            <w:tcW w:w="4601"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u w:val="none" w:color="FFFFFF"/>
              </w:rPr>
              <w:t>经抽油烟机处理引至</w:t>
            </w:r>
            <w:r>
              <w:rPr>
                <w:rFonts w:hint="eastAsia" w:ascii="仿宋" w:hAnsi="仿宋" w:eastAsia="仿宋" w:cs="仿宋"/>
                <w:color w:val="auto"/>
                <w:highlight w:val="none"/>
                <w:u w:val="none" w:color="FFFFFF"/>
                <w:lang w:eastAsia="zh-CN"/>
              </w:rPr>
              <w:t>屋外</w:t>
            </w:r>
            <w:r>
              <w:rPr>
                <w:rFonts w:hint="eastAsia" w:ascii="仿宋" w:hAnsi="仿宋" w:eastAsia="仿宋" w:cs="仿宋"/>
                <w:color w:val="auto"/>
                <w:highlight w:val="none"/>
                <w:u w:val="none" w:color="FFFFFF"/>
              </w:rPr>
              <w:t>排放</w:t>
            </w:r>
          </w:p>
        </w:tc>
        <w:tc>
          <w:tcPr>
            <w:tcW w:w="1243" w:type="dxa"/>
            <w:noWrap w:val="0"/>
            <w:vAlign w:val="center"/>
          </w:tcPr>
          <w:p>
            <w:pPr>
              <w:pStyle w:val="3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无组织排放至大气</w:t>
            </w:r>
          </w:p>
        </w:tc>
      </w:tr>
    </w:tbl>
    <w:p>
      <w:pPr>
        <w:topLinePunct w:val="0"/>
        <w:ind w:firstLine="560"/>
        <w:rPr>
          <w:rFonts w:hint="default" w:ascii="Times New Roman" w:hAnsi="Times New Roman" w:eastAsia="宋体" w:cs="Times New Roman"/>
          <w:color w:val="auto"/>
          <w:highlight w:val="none"/>
          <w:lang w:val="en-US" w:eastAsia="zh-CN"/>
        </w:rPr>
      </w:pPr>
    </w:p>
    <w:p>
      <w:pPr>
        <w:topLinePunct w:val="0"/>
        <w:ind w:firstLine="562"/>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四、环境保护设施调试结果</w:t>
      </w:r>
    </w:p>
    <w:p>
      <w:pPr>
        <w:topLinePunct w:val="0"/>
        <w:ind w:firstLine="560"/>
        <w:jc w:val="both"/>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根据湖南昌旭环保科技有限公司出具《</w:t>
      </w:r>
      <w:r>
        <w:rPr>
          <w:rFonts w:hint="eastAsia" w:eastAsia="仿宋" w:cs="Times New Roman"/>
          <w:color w:val="auto"/>
          <w:sz w:val="28"/>
          <w:highlight w:val="none"/>
          <w:lang w:eastAsia="zh-CN"/>
        </w:rPr>
        <w:t>保靖县农场加油站搬迁建设项目</w:t>
      </w:r>
      <w:r>
        <w:rPr>
          <w:rFonts w:hint="default" w:ascii="Times New Roman" w:hAnsi="Times New Roman" w:eastAsia="仿宋" w:cs="Times New Roman"/>
          <w:color w:val="auto"/>
          <w:sz w:val="28"/>
          <w:highlight w:val="none"/>
        </w:rPr>
        <w:t>检测报告》（编号：HNCX21B</w:t>
      </w:r>
      <w:r>
        <w:rPr>
          <w:rFonts w:hint="eastAsia" w:eastAsia="仿宋" w:cs="Times New Roman"/>
          <w:color w:val="auto"/>
          <w:sz w:val="28"/>
          <w:highlight w:val="none"/>
          <w:lang w:val="en-US" w:eastAsia="zh-CN"/>
        </w:rPr>
        <w:t>12014</w:t>
      </w:r>
      <w:r>
        <w:rPr>
          <w:rFonts w:hint="default" w:ascii="Times New Roman" w:hAnsi="Times New Roman" w:eastAsia="仿宋" w:cs="Times New Roman"/>
          <w:color w:val="auto"/>
          <w:sz w:val="28"/>
          <w:highlight w:val="none"/>
        </w:rPr>
        <w:t>）监测结果表明：</w:t>
      </w:r>
    </w:p>
    <w:p>
      <w:pPr>
        <w:ind w:firstLine="56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1、环境现状监测结果</w:t>
      </w:r>
    </w:p>
    <w:p>
      <w:pPr>
        <w:topLinePunct w:val="0"/>
        <w:ind w:firstLine="560"/>
        <w:rPr>
          <w:rFonts w:hint="default" w:ascii="Times New Roman" w:hAnsi="Times New Roman" w:eastAsia="仿宋" w:cs="Times New Roman"/>
          <w:color w:val="auto"/>
          <w:sz w:val="28"/>
          <w:highlight w:val="none"/>
          <w:lang w:eastAsia="zh-CN"/>
        </w:rPr>
      </w:pPr>
      <w:r>
        <w:rPr>
          <w:rFonts w:hint="default" w:ascii="Times New Roman" w:hAnsi="Times New Roman" w:eastAsia="仿宋" w:cs="Times New Roman"/>
          <w:color w:val="auto"/>
          <w:sz w:val="28"/>
          <w:highlight w:val="none"/>
        </w:rPr>
        <w:t>①</w:t>
      </w:r>
      <w:r>
        <w:rPr>
          <w:rFonts w:hint="eastAsia" w:eastAsia="仿宋" w:cs="Times New Roman"/>
          <w:color w:val="auto"/>
          <w:sz w:val="28"/>
          <w:highlight w:val="none"/>
          <w:lang w:val="en-US" w:eastAsia="zh-CN"/>
        </w:rPr>
        <w:t>地下水</w:t>
      </w:r>
    </w:p>
    <w:p>
      <w:pPr>
        <w:topLinePunct w:val="0"/>
        <w:ind w:firstLine="560"/>
        <w:jc w:val="both"/>
        <w:rPr>
          <w:rFonts w:hint="default" w:ascii="Times New Roman" w:hAnsi="Times New Roman" w:eastAsia="仿宋" w:cs="Times New Roman"/>
          <w:color w:val="auto"/>
          <w:sz w:val="28"/>
          <w:highlight w:val="none"/>
          <w:lang w:eastAsia="zh-CN"/>
        </w:rPr>
      </w:pPr>
      <w:r>
        <w:rPr>
          <w:rFonts w:hint="default" w:ascii="Times New Roman" w:hAnsi="Times New Roman" w:eastAsia="仿宋" w:cs="Times New Roman"/>
          <w:color w:val="auto"/>
          <w:sz w:val="28"/>
          <w:highlight w:val="none"/>
          <w:lang w:eastAsia="zh-CN"/>
        </w:rPr>
        <w:t>监测期间布设的地下水质量现状监测点中pH、硫酸盐、氨氮、铅、总石油烃的监测值均符合《地下水质量标准》（GB/T 14848-2017）中III类标准限值，不存在超标情况。</w:t>
      </w:r>
    </w:p>
    <w:p>
      <w:pPr>
        <w:ind w:firstLine="56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2、污染源排放监测结果</w:t>
      </w:r>
    </w:p>
    <w:p>
      <w:pPr>
        <w:topLinePunct w:val="0"/>
        <w:ind w:firstLine="560"/>
        <w:rPr>
          <w:rFonts w:hint="default" w:ascii="Times New Roman" w:hAnsi="Times New Roman" w:eastAsia="仿宋" w:cs="Times New Roman"/>
          <w:color w:val="auto"/>
          <w:sz w:val="28"/>
          <w:highlight w:val="none"/>
          <w:lang w:val="en-US" w:eastAsia="zh-CN"/>
        </w:rPr>
      </w:pPr>
      <w:r>
        <w:rPr>
          <w:rFonts w:hint="default" w:ascii="Times New Roman" w:hAnsi="Times New Roman" w:eastAsia="仿宋" w:cs="Times New Roman"/>
          <w:color w:val="auto"/>
          <w:sz w:val="28"/>
          <w:highlight w:val="none"/>
        </w:rPr>
        <w:t>①</w:t>
      </w:r>
      <w:r>
        <w:rPr>
          <w:rFonts w:hint="default" w:ascii="Times New Roman" w:hAnsi="Times New Roman" w:eastAsia="仿宋" w:cs="Times New Roman"/>
          <w:color w:val="auto"/>
          <w:sz w:val="28"/>
          <w:highlight w:val="none"/>
          <w:lang w:val="en-US" w:eastAsia="zh-CN"/>
        </w:rPr>
        <w:t>废气</w:t>
      </w:r>
    </w:p>
    <w:p>
      <w:pPr>
        <w:topLinePunct w:val="0"/>
        <w:ind w:firstLine="560"/>
        <w:rPr>
          <w:rFonts w:hint="default" w:ascii="Times New Roman" w:hAnsi="Times New Roman" w:eastAsia="仿宋" w:cs="Times New Roman"/>
          <w:color w:val="auto"/>
          <w:sz w:val="28"/>
          <w:highlight w:val="none"/>
          <w:lang w:val="en-US" w:eastAsia="zh-CN"/>
        </w:rPr>
      </w:pPr>
      <w:r>
        <w:rPr>
          <w:rFonts w:hint="default" w:ascii="Times New Roman" w:hAnsi="Times New Roman" w:eastAsia="仿宋" w:cs="Times New Roman"/>
          <w:color w:val="auto"/>
          <w:sz w:val="28"/>
          <w:highlight w:val="none"/>
          <w:lang w:eastAsia="zh-CN"/>
        </w:rPr>
        <w:t>监测结果显示，厂界无组织废气非甲烷总烃监测结果最大值为1.05mg/m</w:t>
      </w:r>
      <w:r>
        <w:rPr>
          <w:rFonts w:hint="default" w:ascii="Times New Roman" w:hAnsi="Times New Roman" w:eastAsia="仿宋" w:cs="Times New Roman"/>
          <w:color w:val="auto"/>
          <w:sz w:val="28"/>
          <w:highlight w:val="none"/>
          <w:vertAlign w:val="superscript"/>
          <w:lang w:eastAsia="zh-CN"/>
        </w:rPr>
        <w:t>3</w:t>
      </w:r>
      <w:r>
        <w:rPr>
          <w:rFonts w:hint="default" w:ascii="Times New Roman" w:hAnsi="Times New Roman" w:eastAsia="仿宋" w:cs="Times New Roman"/>
          <w:color w:val="auto"/>
          <w:sz w:val="28"/>
          <w:highlight w:val="none"/>
          <w:lang w:eastAsia="zh-CN"/>
        </w:rPr>
        <w:t>，符合《加油站大气污染物排放标准》（GB20952-2020）中无组织监控浓度限值要求。</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②</w:t>
      </w:r>
      <w:r>
        <w:rPr>
          <w:rFonts w:hint="default" w:ascii="Times New Roman" w:hAnsi="Times New Roman" w:eastAsia="仿宋" w:cs="Times New Roman"/>
          <w:color w:val="auto"/>
          <w:sz w:val="28"/>
          <w:highlight w:val="none"/>
          <w:lang w:val="en-US" w:eastAsia="zh-CN"/>
        </w:rPr>
        <w:t>废水</w:t>
      </w:r>
    </w:p>
    <w:p>
      <w:pPr>
        <w:topLinePunct w:val="0"/>
        <w:ind w:firstLine="560"/>
        <w:rPr>
          <w:rFonts w:hint="default" w:ascii="Times New Roman" w:hAnsi="Times New Roman" w:eastAsia="仿宋" w:cs="Times New Roman"/>
          <w:color w:val="auto"/>
          <w:sz w:val="28"/>
          <w:highlight w:val="none"/>
          <w:lang w:val="en-US" w:eastAsia="zh-CN"/>
        </w:rPr>
      </w:pPr>
      <w:r>
        <w:rPr>
          <w:rFonts w:hint="default" w:ascii="Times New Roman" w:hAnsi="Times New Roman" w:eastAsia="仿宋" w:cs="Times New Roman"/>
          <w:color w:val="auto"/>
          <w:sz w:val="28"/>
          <w:highlight w:val="none"/>
          <w:lang w:val="en-US" w:eastAsia="zh-CN"/>
        </w:rPr>
        <w:t>监测结果显示，S1、S2、S3排放口的各监测因子浓度均低于《污水综合排放标准》（GB8978-1996）中三级标准和《污水排入城镇下水道水质标准》（GB/T 31962-2015）表1中B级标准。</w:t>
      </w:r>
    </w:p>
    <w:p>
      <w:pPr>
        <w:topLinePunct w:val="0"/>
        <w:ind w:firstLine="560"/>
        <w:rPr>
          <w:rFonts w:hint="default" w:ascii="Times New Roman" w:hAnsi="Times New Roman" w:eastAsia="仿宋" w:cs="Times New Roman"/>
          <w:color w:val="auto"/>
          <w:sz w:val="28"/>
          <w:highlight w:val="none"/>
          <w:lang w:eastAsia="zh-CN"/>
        </w:rPr>
      </w:pPr>
      <w:r>
        <w:rPr>
          <w:rFonts w:hint="default" w:ascii="Times New Roman" w:hAnsi="Times New Roman" w:eastAsia="仿宋" w:cs="Times New Roman"/>
          <w:color w:val="auto"/>
          <w:sz w:val="28"/>
          <w:highlight w:val="none"/>
        </w:rPr>
        <w:t>③</w:t>
      </w:r>
      <w:r>
        <w:rPr>
          <w:rFonts w:hint="default" w:ascii="Times New Roman" w:hAnsi="Times New Roman" w:eastAsia="仿宋" w:cs="Times New Roman"/>
          <w:color w:val="auto"/>
          <w:sz w:val="28"/>
          <w:highlight w:val="none"/>
          <w:lang w:val="en-US" w:eastAsia="zh-CN"/>
        </w:rPr>
        <w:t>厂界噪声</w:t>
      </w:r>
    </w:p>
    <w:p>
      <w:pPr>
        <w:topLinePunct w:val="0"/>
        <w:ind w:firstLine="560"/>
        <w:rPr>
          <w:rFonts w:hint="default" w:ascii="Times New Roman" w:hAnsi="Times New Roman" w:eastAsia="仿宋" w:cs="Times New Roman"/>
          <w:color w:val="auto"/>
          <w:sz w:val="28"/>
          <w:highlight w:val="none"/>
          <w:lang w:eastAsia="zh-CN"/>
        </w:rPr>
      </w:pPr>
      <w:r>
        <w:rPr>
          <w:rFonts w:hint="default" w:ascii="Times New Roman" w:hAnsi="Times New Roman" w:eastAsia="仿宋" w:cs="Times New Roman"/>
          <w:color w:val="auto"/>
          <w:sz w:val="28"/>
          <w:highlight w:val="none"/>
          <w:lang w:eastAsia="zh-CN"/>
        </w:rPr>
        <w:t>本项目东、南、西、北厂界布设的4个监测点的监测结果表明，昼夜间南、西、北厂界噪声监测值均未超过《工业企业厂界环境噪声排放标准》（GB12348-2008）中2类标准限值。昼夜间东厂界噪声监测值均未超过《工业企业厂界环境噪声排放标准》（GB12348-2008）中4类标准限值。</w:t>
      </w:r>
    </w:p>
    <w:p>
      <w:pPr>
        <w:topLinePunct w:val="0"/>
        <w:ind w:firstLine="562"/>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五、工程建设对环境的影响</w:t>
      </w:r>
    </w:p>
    <w:p>
      <w:pPr>
        <w:topLinePunct w:val="0"/>
        <w:ind w:firstLine="56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保靖县农场加油站搬迁建设项目根据国家有关环保政策要求，在主体工程建设期间，环境保护设施做到了与主体工程同时设计、同时施工、同时运行，按照有关要求严格执行“三同时”制度。验收监测期间，主体工程和环保设施运行正常，工程建设对环境的影响在可接受范围内。</w:t>
      </w:r>
    </w:p>
    <w:p>
      <w:pPr>
        <w:topLinePunct w:val="0"/>
        <w:ind w:firstLine="562"/>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六、验收结论</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针对《建设项目竣工环境保护验收暂行办法（国环规环评2017.4号）》第八条，建设项目环境保护设施存在下列情形之一的，建设单位不得提出验收合格的意见：</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（一）未按环境影响报告书（表）及其审批部门审批决定要求建成环境保护设施，或者环境保护设施不能与主体工程同时投产或者使用的；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（二）污染物排放不符合国家和地方相关标准、环境影响报告书（表）及其审批部门审批决定或者重点污染物排放总量控制指标要求的；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（四）建设过程中造成重大环境污染未治理完成，或者造成重大生态破坏未恢复的；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（五）纳入排污许可管理的建设项目，无证排污或者不按证排污的；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（六）分期建设、分期投入生产或者使用依法应当分期验收的建设项目，其分期建设、分期投入生产或者使用的环境保护设施防治环境污染和生态破坏的能力不能满足其相应主体工程需要的；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（七）建设单位因该建设项目违反国家和地方环境保护法律法规受到处罚，被责令改正，尚未改正完成的；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（八）验收报告的基础资料数据明显不实，内容存在重大缺项、遗漏，或者验收结论不明确、不合理的；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（九）其他环境保护法律法规规章等规定不得通过环境保护验收的。</w:t>
      </w:r>
    </w:p>
    <w:p>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根据现场踏勘进行对照检查，本项目不存在以上所列情形，对照检查情况如下表所示：</w:t>
      </w:r>
    </w:p>
    <w:p>
      <w:pPr>
        <w:pStyle w:val="34"/>
        <w:bidi w:val="0"/>
        <w:rPr>
          <w:color w:val="auto"/>
          <w:highlight w:val="none"/>
        </w:rPr>
      </w:pPr>
      <w:r>
        <w:rPr>
          <w:rFonts w:hint="eastAsia"/>
          <w:color w:val="auto"/>
          <w:highlight w:val="none"/>
        </w:rPr>
        <w:t>对照检查一览表</w:t>
      </w:r>
    </w:p>
    <w:tbl>
      <w:tblPr>
        <w:tblStyle w:val="20"/>
        <w:tblW w:w="878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923"/>
        <w:gridCol w:w="30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56" w:type="dxa"/>
            <w:tcBorders>
              <w:top w:val="single" w:color="auto" w:sz="12"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4923" w:type="dxa"/>
            <w:tcBorders>
              <w:top w:val="single" w:color="auto" w:sz="12"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标准</w:t>
            </w:r>
          </w:p>
        </w:tc>
        <w:tc>
          <w:tcPr>
            <w:tcW w:w="3009" w:type="dxa"/>
            <w:tcBorders>
              <w:top w:val="single" w:color="auto" w:sz="12"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现场情况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（一）</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未按环境影响报告书（表）及其审批部门审批决定要求建成环境保护设施，或者环境保护设施不能与主体工程同时投产或者使用的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szCs w:val="21"/>
                <w:highlight w:val="none"/>
              </w:rPr>
              <w:t>现场已按环评及其审批要求建成环保设施，并与主体同时投产使用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（二）</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污染物排放不符合国家和地方相关标准、环境影响报告书（表）及其审批部门审批决定或者重点污染物排放总量控制指标要求的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szCs w:val="21"/>
                <w:highlight w:val="none"/>
              </w:rPr>
              <w:t>生活污水</w:t>
            </w:r>
            <w:r>
              <w:rPr>
                <w:rFonts w:hint="eastAsia" w:ascii="仿宋" w:hAnsi="仿宋" w:eastAsia="仿宋" w:cs="仿宋"/>
                <w:color w:val="auto"/>
                <w:szCs w:val="21"/>
                <w:highlight w:val="none"/>
                <w:lang w:eastAsia="zh-CN"/>
              </w:rPr>
              <w:t>经化粪池处理后排入市政污水管网</w:t>
            </w:r>
            <w:r>
              <w:rPr>
                <w:rFonts w:hint="eastAsia" w:ascii="仿宋" w:hAnsi="仿宋" w:eastAsia="仿宋" w:cs="仿宋"/>
                <w:color w:val="auto"/>
                <w:szCs w:val="21"/>
                <w:highlight w:val="none"/>
              </w:rPr>
              <w:t>。项目地四周设置排水沟收集项目地的初期雨水，</w:t>
            </w:r>
            <w:r>
              <w:rPr>
                <w:rFonts w:hint="eastAsia" w:ascii="仿宋" w:hAnsi="仿宋" w:eastAsia="仿宋" w:cs="仿宋"/>
                <w:color w:val="auto"/>
                <w:szCs w:val="21"/>
                <w:highlight w:val="none"/>
                <w:lang w:eastAsia="zh-CN"/>
              </w:rPr>
              <w:t>收集后与洗车废水经沉淀池处理后排入市政污水管网</w:t>
            </w:r>
            <w:r>
              <w:rPr>
                <w:rFonts w:hint="eastAsia" w:ascii="仿宋" w:hAnsi="仿宋" w:eastAsia="仿宋" w:cs="仿宋"/>
                <w:color w:val="auto"/>
                <w:szCs w:val="21"/>
                <w:highlight w:val="none"/>
              </w:rPr>
              <w:t>。地面清洗废水经隔油沉淀池处理后</w:t>
            </w:r>
            <w:r>
              <w:rPr>
                <w:rFonts w:hint="eastAsia" w:ascii="仿宋" w:hAnsi="仿宋" w:eastAsia="仿宋" w:cs="仿宋"/>
                <w:color w:val="auto"/>
                <w:szCs w:val="21"/>
                <w:highlight w:val="none"/>
                <w:lang w:eastAsia="zh-CN"/>
              </w:rPr>
              <w:t>排入市政污水管网，</w:t>
            </w:r>
            <w:r>
              <w:rPr>
                <w:rFonts w:hint="eastAsia" w:ascii="仿宋" w:hAnsi="仿宋" w:eastAsia="仿宋" w:cs="仿宋"/>
                <w:color w:val="auto"/>
                <w:szCs w:val="21"/>
                <w:highlight w:val="none"/>
              </w:rPr>
              <w:t>本项目无</w:t>
            </w:r>
            <w:r>
              <w:rPr>
                <w:rFonts w:hint="eastAsia" w:ascii="仿宋" w:hAnsi="仿宋" w:eastAsia="仿宋" w:cs="仿宋"/>
                <w:color w:val="auto"/>
                <w:highlight w:val="none"/>
              </w:rPr>
              <w:t>总量控制指标要求。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（三）</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szCs w:val="21"/>
                <w:highlight w:val="none"/>
              </w:rPr>
              <w:t>项目建设性质、规模、地点、生产工艺、污染防治措施未发生重大变动。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（四）</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建设过程中造成重大环境污染未治理完成，或者造成重大生态破坏未恢复的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本项目建设内容很少且未造成重大污染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（五）</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纳入排污许可管理的建设项目，无证排污或者不按证排污的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lang w:eastAsia="zh-CN"/>
              </w:rPr>
            </w:pPr>
            <w:r>
              <w:rPr>
                <w:rFonts w:hint="eastAsia" w:ascii="仿宋" w:hAnsi="仿宋" w:eastAsia="仿宋" w:cs="仿宋"/>
                <w:color w:val="auto"/>
                <w:highlight w:val="none"/>
              </w:rPr>
              <w:t>依据《固定污染源排污许可分类管理名录（2019年版）》（2019年12月20日），本项目属于纳入排污许可的项目</w:t>
            </w:r>
            <w:r>
              <w:rPr>
                <w:rFonts w:hint="eastAsia" w:ascii="仿宋" w:hAnsi="仿宋" w:eastAsia="仿宋" w:cs="仿宋"/>
                <w:color w:val="auto"/>
                <w:highlight w:val="none"/>
                <w:lang w:eastAsia="zh-CN"/>
              </w:rPr>
              <w:t>，项目已取得排污许可证。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（六）</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分期建设、分期投入生产或者使用依法应当分期验收的建设项目，其分期建设、分期投入生产或者使用的环境保护设施防治环境污染和生态破坏的能力不能满足其相应主体工程需要的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本项目不属于分期建设项目，环保设施能够满足主体工程需要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（七）</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建设单位因该建设项目违反国家和地方环境保护法律法规受到处罚，被责令改正，尚未改正完成的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本建设项目未受相关处罚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（八）</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验收报告的基础资料数据明显不实，内容存在重大缺项、遗漏，或者验收结论不明确、不合理的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验收数据真实，内容无缺项、遗漏，验收结论明确、合理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12"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（九）</w:t>
            </w:r>
          </w:p>
        </w:tc>
        <w:tc>
          <w:tcPr>
            <w:tcW w:w="4923" w:type="dxa"/>
            <w:tcBorders>
              <w:top w:val="single" w:color="auto" w:sz="4" w:space="0"/>
              <w:left w:val="single" w:color="auto" w:sz="4" w:space="0"/>
              <w:bottom w:val="single" w:color="auto" w:sz="12" w:space="0"/>
              <w:right w:val="single" w:color="auto" w:sz="4" w:space="0"/>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其他环境保护法律法规规章等规定不得通过环境保护验收的</w:t>
            </w:r>
          </w:p>
        </w:tc>
        <w:tc>
          <w:tcPr>
            <w:tcW w:w="3009" w:type="dxa"/>
            <w:tcBorders>
              <w:top w:val="single" w:color="auto" w:sz="4" w:space="0"/>
              <w:left w:val="single" w:color="auto" w:sz="4" w:space="0"/>
              <w:bottom w:val="single" w:color="auto" w:sz="12" w:space="0"/>
              <w:right w:val="nil"/>
            </w:tcBorders>
            <w:noWrap w:val="0"/>
            <w:vAlign w:val="center"/>
          </w:tcPr>
          <w:p>
            <w:pPr>
              <w:pStyle w:val="31"/>
              <w:rPr>
                <w:rFonts w:hint="eastAsia" w:ascii="仿宋" w:hAnsi="仿宋" w:eastAsia="仿宋" w:cs="仿宋"/>
                <w:color w:val="auto"/>
                <w:highlight w:val="none"/>
              </w:rPr>
            </w:pPr>
            <w:r>
              <w:rPr>
                <w:rFonts w:hint="eastAsia" w:ascii="仿宋" w:hAnsi="仿宋" w:eastAsia="仿宋" w:cs="仿宋"/>
                <w:color w:val="auto"/>
                <w:highlight w:val="none"/>
              </w:rPr>
              <w:t>本项目不属于相关法规不得通过验收的类型</w:t>
            </w:r>
          </w:p>
        </w:tc>
      </w:tr>
    </w:tbl>
    <w:p>
      <w:pPr>
        <w:widowControl w:val="0"/>
        <w:topLinePunct w:val="0"/>
        <w:adjustRightInd/>
        <w:snapToGrid/>
        <w:ind w:firstLine="562"/>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8"/>
          <w:highlight w:val="none"/>
        </w:rPr>
        <w:t>七、验收组关于验收报告修改完善及现场整改建议</w:t>
      </w:r>
    </w:p>
    <w:p>
      <w:pPr>
        <w:bidi w:val="0"/>
        <w:ind w:left="0" w:leftChars="0" w:firstLine="0" w:firstLineChars="0"/>
        <w:rPr>
          <w:rFonts w:hint="eastAsia" w:ascii="Times New Roman" w:hAnsi="Times New Roman" w:eastAsia="仿宋" w:cs="Times New Roman"/>
          <w:b/>
          <w:bCs/>
          <w:color w:val="auto"/>
          <w:sz w:val="28"/>
          <w:szCs w:val="28"/>
          <w:highlight w:val="none"/>
          <w:lang w:val="en-US" w:eastAsia="zh-CN"/>
        </w:rPr>
      </w:pPr>
      <w:r>
        <w:rPr>
          <w:rFonts w:hint="eastAsia" w:ascii="Times New Roman" w:hAnsi="Times New Roman" w:eastAsia="仿宋" w:cs="Times New Roman"/>
          <w:b/>
          <w:bCs/>
          <w:color w:val="auto"/>
          <w:sz w:val="28"/>
          <w:szCs w:val="28"/>
          <w:highlight w:val="none"/>
          <w:lang w:val="en-US" w:eastAsia="zh-CN"/>
        </w:rPr>
        <w:t>现场整改意见：</w:t>
      </w:r>
    </w:p>
    <w:p>
      <w:pPr>
        <w:numPr>
          <w:ilvl w:val="0"/>
          <w:numId w:val="2"/>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现场补充危废管理台账</w:t>
      </w:r>
    </w:p>
    <w:p>
      <w:pPr>
        <w:numPr>
          <w:ilvl w:val="0"/>
          <w:numId w:val="2"/>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环保设施及排放口设置标识标牌</w:t>
      </w:r>
    </w:p>
    <w:p>
      <w:pPr>
        <w:pStyle w:val="2"/>
        <w:rPr>
          <w:rFonts w:hint="default" w:ascii="Times New Roman" w:hAnsi="Times New Roman" w:eastAsia="仿宋" w:cs="Times New Roman"/>
          <w:color w:val="auto"/>
          <w:highlight w:val="none"/>
          <w:lang w:val="en-US" w:eastAsia="zh-CN"/>
        </w:rPr>
      </w:pPr>
    </w:p>
    <w:p>
      <w:pPr>
        <w:bidi w:val="0"/>
        <w:ind w:left="0" w:leftChars="0" w:firstLine="0" w:firstLineChars="0"/>
        <w:rPr>
          <w:rFonts w:hint="default" w:ascii="Times New Roman" w:hAnsi="Times New Roman" w:eastAsia="仿宋" w:cs="Times New Roman"/>
          <w:b/>
          <w:bCs/>
          <w:color w:val="auto"/>
          <w:sz w:val="28"/>
          <w:szCs w:val="24"/>
          <w:highlight w:val="none"/>
          <w:lang w:val="en-US" w:eastAsia="zh-CN" w:bidi="ar-SA"/>
        </w:rPr>
      </w:pPr>
      <w:r>
        <w:rPr>
          <w:rFonts w:hint="default" w:ascii="Times New Roman" w:hAnsi="Times New Roman" w:eastAsia="仿宋" w:cs="Times New Roman"/>
          <w:b/>
          <w:bCs/>
          <w:color w:val="auto"/>
          <w:sz w:val="28"/>
          <w:szCs w:val="28"/>
          <w:highlight w:val="none"/>
          <w:lang w:val="en-US" w:eastAsia="zh-CN"/>
        </w:rPr>
        <w:t>报告修改意见：</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核实生活垃圾清运去向</w:t>
      </w:r>
    </w:p>
    <w:p>
      <w:pPr>
        <w:numPr>
          <w:ilvl w:val="0"/>
          <w:numId w:val="3"/>
        </w:numPr>
        <w:bidi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文本补充自行监测方案</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完善环境管理制度</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对环保措施变更进行简单分析说明</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补充加油油气回收工艺流程图</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文本补充油气回收系统密闭性、气液比、液阻监测数据</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根据保靖县声功能区划核实声环境质量标准</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核实项目总量控制</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文本补充迁建前项目情况及迁建后原厂址现状</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核实实际环保投资</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完善附图（包括：</w:t>
      </w:r>
      <w:r>
        <w:rPr>
          <w:rFonts w:hint="eastAsia" w:ascii="Times New Roman" w:hAnsi="Times New Roman" w:eastAsia="仿宋" w:cs="Times New Roman"/>
          <w:color w:val="auto"/>
          <w:sz w:val="28"/>
          <w:szCs w:val="28"/>
          <w:highlight w:val="none"/>
          <w:lang w:val="en-US" w:eastAsia="zh-CN"/>
        </w:rPr>
        <w:t>补充项目环保设施分布、给排水线路、及一般、重点防渗分布图，</w:t>
      </w:r>
      <w:r>
        <w:rPr>
          <w:rFonts w:hint="default" w:ascii="Times New Roman" w:hAnsi="Times New Roman" w:eastAsia="仿宋" w:cs="Times New Roman"/>
          <w:color w:val="auto"/>
          <w:sz w:val="28"/>
          <w:szCs w:val="28"/>
          <w:highlight w:val="none"/>
          <w:lang w:val="en-US" w:eastAsia="zh-CN"/>
        </w:rPr>
        <w:t>现场照片等）</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补充附件（包括与第三方公司签订自行监测协议等）</w:t>
      </w:r>
    </w:p>
    <w:p>
      <w:pPr>
        <w:numPr>
          <w:ilvl w:val="0"/>
          <w:numId w:val="3"/>
        </w:numPr>
        <w:bidi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验收登记表补充废水污染物排放量及浓度</w:t>
      </w:r>
    </w:p>
    <w:p>
      <w:pPr>
        <w:pStyle w:val="2"/>
        <w:rPr>
          <w:rFonts w:hint="default"/>
          <w:color w:val="auto"/>
          <w:highlight w:val="none"/>
          <w:lang w:val="en-US" w:eastAsia="zh-CN"/>
        </w:rPr>
      </w:pPr>
      <w:r>
        <w:rPr>
          <w:rFonts w:hint="eastAsia" w:ascii="Times New Roman" w:hAnsi="Times New Roman" w:eastAsia="仿宋" w:cs="Times New Roman"/>
          <w:color w:val="auto"/>
          <w:sz w:val="28"/>
          <w:szCs w:val="28"/>
          <w:highlight w:val="none"/>
          <w:lang w:val="en-US" w:eastAsia="zh-CN"/>
        </w:rPr>
        <w:t xml:space="preserve">    </w:t>
      </w:r>
    </w:p>
    <w:p>
      <w:pPr>
        <w:keepNext w:val="0"/>
        <w:keepLines w:val="0"/>
        <w:pageBreakBefore w:val="0"/>
        <w:widowControl/>
        <w:kinsoku/>
        <w:wordWrap w:val="0"/>
        <w:overflowPunct/>
        <w:topLinePunct/>
        <w:autoSpaceDE/>
        <w:autoSpaceDN/>
        <w:bidi w:val="0"/>
        <w:adjustRightInd w:val="0"/>
        <w:snapToGrid w:val="0"/>
        <w:textAlignment w:val="auto"/>
        <w:rPr>
          <w:rFonts w:hint="default" w:ascii="Times New Roman" w:hAnsi="Times New Roman" w:eastAsia="仿宋" w:cs="Times New Roman"/>
          <w:color w:val="auto"/>
          <w:highlight w:val="none"/>
          <w:lang w:val="en-US" w:eastAsia="zh-CN"/>
        </w:rPr>
      </w:pPr>
    </w:p>
    <w:p>
      <w:pPr>
        <w:bidi w:val="0"/>
        <w:ind w:left="0" w:leftChars="0" w:firstLine="0" w:firstLineChars="0"/>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rPr>
        <w:t>后续要求：</w:t>
      </w:r>
    </w:p>
    <w:p>
      <w:pPr>
        <w:keepNext w:val="0"/>
        <w:keepLines w:val="0"/>
        <w:pageBreakBefore w:val="0"/>
        <w:widowControl/>
        <w:kinsoku/>
        <w:wordWrap w:val="0"/>
        <w:overflowPunct/>
        <w:topLinePunct/>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加强对运营中各产污环节和各污染源的管控和管理；</w:t>
      </w:r>
    </w:p>
    <w:p>
      <w:pPr>
        <w:keepNext w:val="0"/>
        <w:keepLines w:val="0"/>
        <w:pageBreakBefore w:val="0"/>
        <w:widowControl/>
        <w:kinsoku/>
        <w:wordWrap w:val="0"/>
        <w:overflowPunct/>
        <w:topLinePunct/>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加强环境管理，确保环保投资及环保设施的正常运行；</w:t>
      </w:r>
    </w:p>
    <w:p>
      <w:pPr>
        <w:keepNext w:val="0"/>
        <w:keepLines w:val="0"/>
        <w:pageBreakBefore w:val="0"/>
        <w:widowControl/>
        <w:kinsoku/>
        <w:wordWrap w:val="0"/>
        <w:overflowPunct/>
        <w:topLinePunct/>
        <w:autoSpaceDE/>
        <w:autoSpaceDN/>
        <w:bidi w:val="0"/>
        <w:adjustRightInd w:val="0"/>
        <w:snapToGrid w:val="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现场整改完成和报告修改完善并经专家组核实认可后，同意项目验收合格。</w:t>
      </w:r>
    </w:p>
    <w:p>
      <w:pPr>
        <w:pStyle w:val="2"/>
        <w:rPr>
          <w:rFonts w:hint="default" w:ascii="Times New Roman" w:hAnsi="Times New Roman" w:cs="Times New Roman"/>
          <w:color w:val="auto"/>
          <w:highlight w:val="none"/>
        </w:rPr>
      </w:pPr>
    </w:p>
    <w:p>
      <w:pPr>
        <w:keepNext w:val="0"/>
        <w:keepLines w:val="0"/>
        <w:pageBreakBefore w:val="0"/>
        <w:widowControl/>
        <w:kinsoku/>
        <w:wordWrap w:val="0"/>
        <w:overflowPunct/>
        <w:topLinePunct w:val="0"/>
        <w:autoSpaceDE/>
        <w:autoSpaceDN/>
        <w:bidi w:val="0"/>
        <w:adjustRightInd w:val="0"/>
        <w:snapToGrid w:val="0"/>
        <w:ind w:firstLine="560" w:firstLineChars="200"/>
        <w:jc w:val="both"/>
        <w:textAlignment w:val="auto"/>
        <w:rPr>
          <w:rFonts w:hint="eastAsia" w:eastAsia="仿宋" w:cs="Times New Roman"/>
          <w:color w:val="auto"/>
          <w:sz w:val="28"/>
          <w:highlight w:val="none"/>
          <w:lang w:val="en-US" w:eastAsia="zh-CN"/>
        </w:rPr>
      </w:pPr>
      <w:r>
        <w:rPr>
          <w:rFonts w:hint="eastAsia" w:eastAsia="仿宋" w:cs="Times New Roman"/>
          <w:color w:val="auto"/>
          <w:sz w:val="28"/>
          <w:highlight w:val="none"/>
          <w:lang w:val="en-US" w:eastAsia="zh-CN"/>
        </w:rPr>
        <w:t>专家组：</w:t>
      </w:r>
    </w:p>
    <w:p>
      <w:pPr>
        <w:pStyle w:val="2"/>
        <w:rPr>
          <w:rFonts w:hint="eastAsia" w:eastAsia="仿宋" w:cs="Times New Roman"/>
          <w:color w:val="auto"/>
          <w:sz w:val="28"/>
          <w:highlight w:val="none"/>
          <w:lang w:val="en-US" w:eastAsia="zh-CN"/>
        </w:rPr>
      </w:pPr>
    </w:p>
    <w:p>
      <w:pPr>
        <w:pStyle w:val="2"/>
        <w:rPr>
          <w:rFonts w:hint="eastAsia" w:eastAsia="仿宋" w:cs="Times New Roman"/>
          <w:color w:val="auto"/>
          <w:sz w:val="28"/>
          <w:highlight w:val="none"/>
          <w:lang w:val="en-US" w:eastAsia="zh-CN"/>
        </w:rPr>
      </w:pPr>
    </w:p>
    <w:p>
      <w:pPr>
        <w:keepNext w:val="0"/>
        <w:keepLines w:val="0"/>
        <w:pageBreakBefore w:val="0"/>
        <w:widowControl/>
        <w:kinsoku/>
        <w:wordWrap/>
        <w:overflowPunct/>
        <w:topLinePunct w:val="0"/>
        <w:autoSpaceDE/>
        <w:autoSpaceDN/>
        <w:bidi w:val="0"/>
        <w:adjustRightInd w:val="0"/>
        <w:snapToGrid w:val="0"/>
        <w:ind w:right="0" w:firstLine="560"/>
        <w:jc w:val="righ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中国石化销售股份有限公司湖南湘西石油分公司</w:t>
      </w:r>
    </w:p>
    <w:p>
      <w:pPr>
        <w:jc w:val="right"/>
        <w:rPr>
          <w:rFonts w:hint="default" w:ascii="Times New Roman" w:hAnsi="Times New Roman" w:cs="Times New Roman"/>
          <w:color w:val="auto"/>
          <w:highlight w:val="none"/>
        </w:rPr>
      </w:pPr>
      <w:r>
        <w:rPr>
          <w:rFonts w:hint="eastAsia" w:eastAsia="仿宋" w:cs="Times New Roman"/>
          <w:color w:val="auto"/>
          <w:sz w:val="28"/>
          <w:highlight w:val="none"/>
          <w:lang w:val="en-US" w:eastAsia="zh-CN"/>
        </w:rPr>
        <w:t xml:space="preserve">     </w:t>
      </w:r>
      <w:r>
        <w:rPr>
          <w:rFonts w:hint="default" w:ascii="Times New Roman" w:hAnsi="Times New Roman" w:eastAsia="仿宋" w:cs="Times New Roman"/>
          <w:color w:val="auto"/>
          <w:sz w:val="28"/>
          <w:highlight w:val="none"/>
        </w:rPr>
        <w:t>年</w:t>
      </w:r>
      <w:r>
        <w:rPr>
          <w:rFonts w:hint="eastAsia" w:eastAsia="仿宋" w:cs="Times New Roman"/>
          <w:color w:val="auto"/>
          <w:sz w:val="28"/>
          <w:highlight w:val="none"/>
          <w:lang w:val="en-US" w:eastAsia="zh-CN"/>
        </w:rPr>
        <w:t xml:space="preserve"> </w:t>
      </w:r>
      <w:r>
        <w:rPr>
          <w:rFonts w:hint="default" w:ascii="Times New Roman" w:hAnsi="Times New Roman" w:eastAsia="仿宋" w:cs="Times New Roman"/>
          <w:color w:val="auto"/>
          <w:sz w:val="28"/>
          <w:highlight w:val="none"/>
        </w:rPr>
        <w:t>月</w:t>
      </w:r>
      <w:r>
        <w:rPr>
          <w:rFonts w:hint="eastAsia" w:eastAsia="仿宋" w:cs="Times New Roman"/>
          <w:color w:val="auto"/>
          <w:sz w:val="28"/>
          <w:highlight w:val="none"/>
          <w:lang w:val="en-US" w:eastAsia="zh-CN"/>
        </w:rPr>
        <w:t xml:space="preserve"> </w:t>
      </w:r>
      <w:r>
        <w:rPr>
          <w:rFonts w:hint="default" w:ascii="Times New Roman" w:hAnsi="Times New Roman" w:eastAsia="仿宋" w:cs="Times New Roman"/>
          <w:color w:val="auto"/>
          <w:sz w:val="28"/>
          <w:highlight w:val="none"/>
        </w:rPr>
        <w:t>日</w:t>
      </w: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DE"/>
    <w:family w:val="roman"/>
    <w:pitch w:val="default"/>
    <w:sig w:usb0="81000003" w:usb1="00000000" w:usb2="00000000" w:usb3="00000000" w:csb0="0001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A7BC9"/>
    <w:multiLevelType w:val="singleLevel"/>
    <w:tmpl w:val="C34A7BC9"/>
    <w:lvl w:ilvl="0" w:tentative="0">
      <w:start w:val="1"/>
      <w:numFmt w:val="decimal"/>
      <w:suff w:val="nothing"/>
      <w:lvlText w:val="%1、"/>
      <w:lvlJc w:val="left"/>
    </w:lvl>
  </w:abstractNum>
  <w:abstractNum w:abstractNumId="1">
    <w:nsid w:val="59B5CBC1"/>
    <w:multiLevelType w:val="multilevel"/>
    <w:tmpl w:val="59B5CBC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760590CD"/>
    <w:multiLevelType w:val="singleLevel"/>
    <w:tmpl w:val="760590C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B0D1A"/>
    <w:rsid w:val="00264329"/>
    <w:rsid w:val="014E39AE"/>
    <w:rsid w:val="02630E77"/>
    <w:rsid w:val="030F65EB"/>
    <w:rsid w:val="049F4651"/>
    <w:rsid w:val="063B1A66"/>
    <w:rsid w:val="06957BCC"/>
    <w:rsid w:val="07813170"/>
    <w:rsid w:val="081D1862"/>
    <w:rsid w:val="083D37DE"/>
    <w:rsid w:val="08587E8D"/>
    <w:rsid w:val="08A44348"/>
    <w:rsid w:val="0B735E76"/>
    <w:rsid w:val="0CBA207F"/>
    <w:rsid w:val="0CE66344"/>
    <w:rsid w:val="0D40545F"/>
    <w:rsid w:val="0D99462E"/>
    <w:rsid w:val="0E3E6C5B"/>
    <w:rsid w:val="0F4C01ED"/>
    <w:rsid w:val="0F9200CA"/>
    <w:rsid w:val="0FCF5D8B"/>
    <w:rsid w:val="0FE35A8E"/>
    <w:rsid w:val="0FF14CA8"/>
    <w:rsid w:val="109522C1"/>
    <w:rsid w:val="140B2AF6"/>
    <w:rsid w:val="140D5EFF"/>
    <w:rsid w:val="1550490C"/>
    <w:rsid w:val="17D2669F"/>
    <w:rsid w:val="18860ED1"/>
    <w:rsid w:val="18B5494B"/>
    <w:rsid w:val="18D12D2F"/>
    <w:rsid w:val="18E654C7"/>
    <w:rsid w:val="19410C4B"/>
    <w:rsid w:val="19E379A8"/>
    <w:rsid w:val="1B1A23DA"/>
    <w:rsid w:val="1B7D45A4"/>
    <w:rsid w:val="1DD37489"/>
    <w:rsid w:val="1E357CC2"/>
    <w:rsid w:val="1E3A73BA"/>
    <w:rsid w:val="1E8C7049"/>
    <w:rsid w:val="1FDD3249"/>
    <w:rsid w:val="20743E0F"/>
    <w:rsid w:val="2092370F"/>
    <w:rsid w:val="20D31AC9"/>
    <w:rsid w:val="21800007"/>
    <w:rsid w:val="235F711D"/>
    <w:rsid w:val="242C317A"/>
    <w:rsid w:val="248A3D0A"/>
    <w:rsid w:val="24A6559E"/>
    <w:rsid w:val="2579740B"/>
    <w:rsid w:val="27423D9C"/>
    <w:rsid w:val="2898634B"/>
    <w:rsid w:val="28AD6B6C"/>
    <w:rsid w:val="28B52D96"/>
    <w:rsid w:val="2A7A74E4"/>
    <w:rsid w:val="2AD470C7"/>
    <w:rsid w:val="2DDF3E97"/>
    <w:rsid w:val="2F121F89"/>
    <w:rsid w:val="302A25E8"/>
    <w:rsid w:val="30B00C00"/>
    <w:rsid w:val="31185C75"/>
    <w:rsid w:val="32A46FF2"/>
    <w:rsid w:val="33966AEA"/>
    <w:rsid w:val="33CF4B6F"/>
    <w:rsid w:val="34E3058C"/>
    <w:rsid w:val="36147B89"/>
    <w:rsid w:val="37084561"/>
    <w:rsid w:val="37112174"/>
    <w:rsid w:val="37EF7774"/>
    <w:rsid w:val="38452670"/>
    <w:rsid w:val="387A7C05"/>
    <w:rsid w:val="391B682D"/>
    <w:rsid w:val="39A85BB3"/>
    <w:rsid w:val="3A236E38"/>
    <w:rsid w:val="3ABD59D1"/>
    <w:rsid w:val="3ADA17DF"/>
    <w:rsid w:val="3C812590"/>
    <w:rsid w:val="3CA07BA8"/>
    <w:rsid w:val="3DD166C4"/>
    <w:rsid w:val="3E1C0D07"/>
    <w:rsid w:val="3E3C4BB4"/>
    <w:rsid w:val="4109473E"/>
    <w:rsid w:val="41EC04C8"/>
    <w:rsid w:val="41F6152B"/>
    <w:rsid w:val="42C9477C"/>
    <w:rsid w:val="43B42B5B"/>
    <w:rsid w:val="451B64DD"/>
    <w:rsid w:val="45E062CD"/>
    <w:rsid w:val="470C4213"/>
    <w:rsid w:val="4842201A"/>
    <w:rsid w:val="48A13975"/>
    <w:rsid w:val="49DD7700"/>
    <w:rsid w:val="4A0671FE"/>
    <w:rsid w:val="4A151414"/>
    <w:rsid w:val="4A3F6457"/>
    <w:rsid w:val="4AEC65BA"/>
    <w:rsid w:val="4B84065C"/>
    <w:rsid w:val="4B963A1D"/>
    <w:rsid w:val="4BAB4E5D"/>
    <w:rsid w:val="4C006166"/>
    <w:rsid w:val="4C7B0D1A"/>
    <w:rsid w:val="4DE46CCE"/>
    <w:rsid w:val="4EA0283F"/>
    <w:rsid w:val="4F5D2936"/>
    <w:rsid w:val="4F97736F"/>
    <w:rsid w:val="4FB8583E"/>
    <w:rsid w:val="50CA52D3"/>
    <w:rsid w:val="51611607"/>
    <w:rsid w:val="51765CC2"/>
    <w:rsid w:val="51B53AF6"/>
    <w:rsid w:val="52156D27"/>
    <w:rsid w:val="52A44BE3"/>
    <w:rsid w:val="53C742B2"/>
    <w:rsid w:val="56C1553F"/>
    <w:rsid w:val="571D6E16"/>
    <w:rsid w:val="58A079C3"/>
    <w:rsid w:val="58DA4C4C"/>
    <w:rsid w:val="59DB1E89"/>
    <w:rsid w:val="5B074E91"/>
    <w:rsid w:val="5B6A7CE9"/>
    <w:rsid w:val="5CB37352"/>
    <w:rsid w:val="5D0D0805"/>
    <w:rsid w:val="5D2E54D9"/>
    <w:rsid w:val="5D6174DF"/>
    <w:rsid w:val="5D7E1919"/>
    <w:rsid w:val="5DA15F7E"/>
    <w:rsid w:val="5DEE3BD6"/>
    <w:rsid w:val="5E432FA9"/>
    <w:rsid w:val="5EC04452"/>
    <w:rsid w:val="5FBD6059"/>
    <w:rsid w:val="618E03F1"/>
    <w:rsid w:val="624D675C"/>
    <w:rsid w:val="62624A90"/>
    <w:rsid w:val="63FF0994"/>
    <w:rsid w:val="643931E3"/>
    <w:rsid w:val="64605246"/>
    <w:rsid w:val="65EE0498"/>
    <w:rsid w:val="67975599"/>
    <w:rsid w:val="68351C49"/>
    <w:rsid w:val="69077B26"/>
    <w:rsid w:val="6A2E242D"/>
    <w:rsid w:val="6ACA6F62"/>
    <w:rsid w:val="6B183C96"/>
    <w:rsid w:val="6B682DCF"/>
    <w:rsid w:val="6BEB5191"/>
    <w:rsid w:val="6C8578BF"/>
    <w:rsid w:val="6C8F27F2"/>
    <w:rsid w:val="6CCD0E1B"/>
    <w:rsid w:val="6D963A25"/>
    <w:rsid w:val="6E160A4C"/>
    <w:rsid w:val="6E4B55EF"/>
    <w:rsid w:val="6E5F1E50"/>
    <w:rsid w:val="6EB36BA6"/>
    <w:rsid w:val="6F741A46"/>
    <w:rsid w:val="724B3140"/>
    <w:rsid w:val="73567EF6"/>
    <w:rsid w:val="74365795"/>
    <w:rsid w:val="75136198"/>
    <w:rsid w:val="75562F8E"/>
    <w:rsid w:val="75FE112B"/>
    <w:rsid w:val="78E27625"/>
    <w:rsid w:val="799B6B1C"/>
    <w:rsid w:val="79F77246"/>
    <w:rsid w:val="7A8A0107"/>
    <w:rsid w:val="7B5B7309"/>
    <w:rsid w:val="7CFE6647"/>
    <w:rsid w:val="7D035976"/>
    <w:rsid w:val="7EE86839"/>
    <w:rsid w:val="7F8F1274"/>
    <w:rsid w:val="7F96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topLinePunct/>
      <w:adjustRightInd w:val="0"/>
      <w:snapToGrid w:val="0"/>
      <w:spacing w:line="360" w:lineRule="auto"/>
      <w:ind w:firstLine="480" w:firstLineChars="200"/>
    </w:pPr>
    <w:rPr>
      <w:rFonts w:ascii="Times New Roman" w:hAnsi="Times New Roman" w:eastAsia="宋体" w:cs="Times New Roman"/>
      <w:sz w:val="24"/>
      <w:szCs w:val="24"/>
      <w:lang w:val="en-US" w:eastAsia="zh-CN" w:bidi="ar-SA"/>
    </w:rPr>
  </w:style>
  <w:style w:type="paragraph" w:styleId="3">
    <w:name w:val="heading 1"/>
    <w:basedOn w:val="1"/>
    <w:next w:val="1"/>
    <w:link w:val="26"/>
    <w:qFormat/>
    <w:uiPriority w:val="0"/>
    <w:pPr>
      <w:jc w:val="left"/>
      <w:outlineLvl w:val="0"/>
    </w:pPr>
    <w:rPr>
      <w:rFonts w:ascii="Times New Roman" w:hAnsi="Times New Roman"/>
      <w:b/>
      <w:sz w:val="36"/>
      <w:szCs w:val="24"/>
    </w:rPr>
  </w:style>
  <w:style w:type="paragraph" w:styleId="4">
    <w:name w:val="heading 2"/>
    <w:basedOn w:val="1"/>
    <w:next w:val="1"/>
    <w:link w:val="24"/>
    <w:semiHidden/>
    <w:unhideWhenUsed/>
    <w:qFormat/>
    <w:uiPriority w:val="0"/>
    <w:pPr>
      <w:spacing w:before="200" w:after="200" w:line="240" w:lineRule="auto"/>
      <w:ind w:firstLine="0" w:firstLineChars="0"/>
      <w:outlineLvl w:val="1"/>
    </w:pPr>
    <w:rPr>
      <w:rFonts w:ascii="Times New Roman" w:hAnsi="Times New Roman" w:eastAsia="黑体" w:cs="宋体"/>
      <w:b/>
      <w:sz w:val="32"/>
      <w:szCs w:val="36"/>
      <w:lang w:val="zh-CN" w:bidi="zh-CN"/>
    </w:rPr>
  </w:style>
  <w:style w:type="paragraph" w:styleId="5">
    <w:name w:val="heading 3"/>
    <w:basedOn w:val="1"/>
    <w:next w:val="1"/>
    <w:link w:val="25"/>
    <w:semiHidden/>
    <w:unhideWhenUsed/>
    <w:qFormat/>
    <w:uiPriority w:val="0"/>
    <w:pPr>
      <w:spacing w:before="80" w:beforeLines="80" w:after="80" w:afterLines="80" w:line="240" w:lineRule="auto"/>
      <w:ind w:firstLine="0" w:firstLineChars="0"/>
      <w:outlineLvl w:val="2"/>
    </w:pPr>
    <w:rPr>
      <w:rFonts w:ascii="Times New Roman" w:hAnsi="Times New Roman" w:eastAsia="黑体" w:cs="Angsana New"/>
      <w:b/>
      <w:bCs/>
      <w:sz w:val="28"/>
      <w:szCs w:val="28"/>
      <w:lang w:val="zh-CN" w:bidi="th-TH"/>
    </w:rPr>
  </w:style>
  <w:style w:type="paragraph" w:styleId="6">
    <w:name w:val="heading 4"/>
    <w:basedOn w:val="1"/>
    <w:next w:val="1"/>
    <w:link w:val="29"/>
    <w:semiHidden/>
    <w:unhideWhenUsed/>
    <w:qFormat/>
    <w:uiPriority w:val="0"/>
    <w:pPr>
      <w:keepNext/>
      <w:keepLines/>
      <w:ind w:firstLine="400" w:firstLineChars="200"/>
      <w:outlineLvl w:val="3"/>
    </w:pPr>
    <w:rPr>
      <w:rFonts w:ascii="Times New Roman" w:hAnsi="Times New Roman" w:eastAsia="宋体" w:cs="宋体"/>
      <w:b/>
      <w:szCs w:val="28"/>
      <w:lang w:val="zh-CN" w:bidi="zh-CN"/>
    </w:rPr>
  </w:style>
  <w:style w:type="paragraph" w:styleId="7">
    <w:name w:val="heading 5"/>
    <w:basedOn w:val="1"/>
    <w:next w:val="1"/>
    <w:semiHidden/>
    <w:unhideWhenUsed/>
    <w:qFormat/>
    <w:uiPriority w:val="0"/>
    <w:pPr>
      <w:keepNext/>
      <w:keepLines/>
      <w:spacing w:line="360" w:lineRule="auto"/>
      <w:ind w:left="0" w:firstLine="0" w:firstLineChars="0"/>
      <w:outlineLvl w:val="4"/>
    </w:pPr>
    <w:rPr>
      <w:rFonts w:eastAsia="宋体" w:cs="Times New Roman"/>
      <w:b/>
      <w:sz w:val="24"/>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2">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12">
    <w:name w:val="Normal Indent"/>
    <w:basedOn w:val="1"/>
    <w:next w:val="1"/>
    <w:qFormat/>
    <w:uiPriority w:val="99"/>
    <w:pPr>
      <w:ind w:firstLine="420"/>
    </w:pPr>
    <w:rPr>
      <w:sz w:val="20"/>
      <w:szCs w:val="20"/>
    </w:rPr>
  </w:style>
  <w:style w:type="paragraph" w:styleId="13">
    <w:name w:val="annotation text"/>
    <w:basedOn w:val="1"/>
    <w:unhideWhenUsed/>
    <w:qFormat/>
    <w:uiPriority w:val="99"/>
    <w:rPr>
      <w:sz w:val="20"/>
      <w:szCs w:val="20"/>
    </w:rPr>
  </w:style>
  <w:style w:type="paragraph" w:styleId="14">
    <w:name w:val="Body Text"/>
    <w:basedOn w:val="1"/>
    <w:qFormat/>
    <w:uiPriority w:val="0"/>
    <w:pPr>
      <w:spacing w:after="120" w:afterLines="0" w:afterAutospacing="0"/>
    </w:pPr>
  </w:style>
  <w:style w:type="paragraph" w:styleId="15">
    <w:name w:val="Body Text Indent"/>
    <w:basedOn w:val="1"/>
    <w:qFormat/>
    <w:uiPriority w:val="0"/>
    <w:pPr>
      <w:spacing w:after="120" w:afterLines="0" w:afterAutospacing="0"/>
      <w:ind w:left="420" w:leftChars="200"/>
    </w:pPr>
  </w:style>
  <w:style w:type="paragraph" w:styleId="16">
    <w:name w:val="toc 2"/>
    <w:basedOn w:val="1"/>
    <w:next w:val="1"/>
    <w:qFormat/>
    <w:uiPriority w:val="0"/>
    <w:pPr>
      <w:ind w:left="420" w:leftChars="200"/>
    </w:pPr>
  </w:style>
  <w:style w:type="paragraph" w:styleId="17">
    <w:name w:val="Title"/>
    <w:basedOn w:val="1"/>
    <w:next w:val="1"/>
    <w:qFormat/>
    <w:uiPriority w:val="0"/>
    <w:pPr>
      <w:spacing w:before="240" w:after="240" w:line="360" w:lineRule="auto"/>
      <w:ind w:firstLine="0" w:firstLineChars="0"/>
      <w:jc w:val="center"/>
      <w:outlineLvl w:val="0"/>
    </w:pPr>
    <w:rPr>
      <w:rFonts w:ascii="Cambria" w:hAnsi="Cambria" w:cs="Cambria"/>
      <w:b/>
      <w:bCs/>
      <w:sz w:val="48"/>
      <w:szCs w:val="32"/>
    </w:rPr>
  </w:style>
  <w:style w:type="paragraph" w:styleId="18">
    <w:name w:val="Body Text First Indent"/>
    <w:basedOn w:val="14"/>
    <w:qFormat/>
    <w:uiPriority w:val="0"/>
    <w:pPr>
      <w:ind w:firstLine="420" w:firstLineChars="100"/>
    </w:pPr>
  </w:style>
  <w:style w:type="paragraph" w:styleId="19">
    <w:name w:val="Body Text First Indent 2"/>
    <w:basedOn w:val="15"/>
    <w:qFormat/>
    <w:uiPriority w:val="0"/>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表格内文字"/>
    <w:basedOn w:val="1"/>
    <w:qFormat/>
    <w:uiPriority w:val="0"/>
    <w:pPr>
      <w:kinsoku w:val="0"/>
      <w:wordWrap w:val="0"/>
      <w:overflowPunct w:val="0"/>
      <w:spacing w:line="240" w:lineRule="auto"/>
      <w:ind w:firstLine="0" w:firstLineChars="0"/>
      <w:jc w:val="center"/>
    </w:pPr>
    <w:rPr>
      <w:snapToGrid w:val="0"/>
      <w:kern w:val="0"/>
      <w:sz w:val="21"/>
      <w:szCs w:val="20"/>
    </w:rPr>
  </w:style>
  <w:style w:type="character" w:customStyle="1" w:styleId="24">
    <w:name w:val="标题 2 Char"/>
    <w:link w:val="4"/>
    <w:qFormat/>
    <w:uiPriority w:val="0"/>
    <w:rPr>
      <w:rFonts w:ascii="Times New Roman" w:hAnsi="Times New Roman" w:eastAsia="黑体" w:cs="宋体"/>
      <w:b/>
      <w:sz w:val="32"/>
      <w:szCs w:val="36"/>
      <w:lang w:val="zh-CN" w:bidi="zh-CN"/>
    </w:rPr>
  </w:style>
  <w:style w:type="character" w:customStyle="1" w:styleId="25">
    <w:name w:val="标题 3 Char"/>
    <w:link w:val="5"/>
    <w:semiHidden/>
    <w:qFormat/>
    <w:uiPriority w:val="9"/>
    <w:rPr>
      <w:rFonts w:ascii="Times New Roman" w:hAnsi="Times New Roman" w:eastAsia="黑体" w:cs="Angsana New"/>
      <w:b/>
      <w:bCs/>
      <w:kern w:val="0"/>
      <w:sz w:val="28"/>
      <w:szCs w:val="28"/>
      <w:lang w:val="zh-CN" w:bidi="th-TH"/>
    </w:rPr>
  </w:style>
  <w:style w:type="character" w:customStyle="1" w:styleId="26">
    <w:name w:val="标题 1 Char"/>
    <w:link w:val="3"/>
    <w:qFormat/>
    <w:uiPriority w:val="0"/>
    <w:rPr>
      <w:rFonts w:ascii="Times New Roman" w:hAnsi="Times New Roman" w:eastAsia="宋体" w:cs="Times New Roman"/>
      <w:b/>
      <w:kern w:val="44"/>
      <w:sz w:val="28"/>
      <w:szCs w:val="22"/>
      <w:lang w:eastAsia="en-US"/>
    </w:rPr>
  </w:style>
  <w:style w:type="paragraph" w:customStyle="1" w:styleId="27">
    <w:name w:val="表文字"/>
    <w:basedOn w:val="1"/>
    <w:link w:val="28"/>
    <w:qFormat/>
    <w:uiPriority w:val="0"/>
    <w:pPr>
      <w:overflowPunct w:val="0"/>
      <w:autoSpaceDE w:val="0"/>
      <w:autoSpaceDN w:val="0"/>
      <w:adjustRightInd/>
      <w:spacing w:line="240" w:lineRule="auto"/>
      <w:ind w:firstLine="0" w:firstLineChars="0"/>
      <w:jc w:val="center"/>
      <w:textAlignment w:val="baseline"/>
    </w:pPr>
    <w:rPr>
      <w:rFonts w:ascii="Calibri" w:hAnsi="Calibri"/>
      <w:kern w:val="0"/>
    </w:rPr>
  </w:style>
  <w:style w:type="character" w:customStyle="1" w:styleId="28">
    <w:name w:val="表文字 Char"/>
    <w:link w:val="27"/>
    <w:qFormat/>
    <w:uiPriority w:val="0"/>
    <w:rPr>
      <w:rFonts w:eastAsia="宋体"/>
      <w:sz w:val="24"/>
    </w:rPr>
  </w:style>
  <w:style w:type="character" w:customStyle="1" w:styleId="29">
    <w:name w:val="标题 4 Char"/>
    <w:link w:val="6"/>
    <w:qFormat/>
    <w:uiPriority w:val="0"/>
    <w:rPr>
      <w:rFonts w:ascii="Times New Roman" w:hAnsi="Times New Roman" w:eastAsia="宋体" w:cs="宋体"/>
      <w:b/>
      <w:sz w:val="24"/>
      <w:szCs w:val="28"/>
      <w:lang w:val="zh-CN" w:bidi="zh-CN"/>
    </w:rPr>
  </w:style>
  <w:style w:type="paragraph" w:customStyle="1" w:styleId="30">
    <w:name w:val="表格标题"/>
    <w:basedOn w:val="18"/>
    <w:next w:val="31"/>
    <w:link w:val="32"/>
    <w:qFormat/>
    <w:uiPriority w:val="0"/>
    <w:pPr>
      <w:spacing w:before="0" w:beforeLines="0"/>
      <w:ind w:firstLine="0" w:firstLineChars="0"/>
      <w:jc w:val="center"/>
    </w:pPr>
    <w:rPr>
      <w:rFonts w:eastAsia="宋体"/>
      <w:sz w:val="21"/>
    </w:rPr>
  </w:style>
  <w:style w:type="paragraph" w:customStyle="1" w:styleId="31">
    <w:name w:val="表格"/>
    <w:basedOn w:val="1"/>
    <w:next w:val="1"/>
    <w:link w:val="33"/>
    <w:qFormat/>
    <w:uiPriority w:val="0"/>
    <w:pPr>
      <w:spacing w:line="240" w:lineRule="auto"/>
      <w:ind w:firstLine="0" w:firstLineChars="0"/>
      <w:jc w:val="center"/>
    </w:pPr>
    <w:rPr>
      <w:rFonts w:ascii="Times New Roman" w:hAnsi="Times New Roman" w:eastAsia="宋体" w:cs="Times New Roman"/>
      <w:sz w:val="21"/>
      <w:szCs w:val="21"/>
    </w:rPr>
  </w:style>
  <w:style w:type="character" w:customStyle="1" w:styleId="32">
    <w:name w:val="表格标题_"/>
    <w:basedOn w:val="22"/>
    <w:link w:val="30"/>
    <w:qFormat/>
    <w:uiPriority w:val="0"/>
    <w:rPr>
      <w:rFonts w:ascii="宋体" w:hAnsi="宋体" w:eastAsia="宋体" w:cs="宋体"/>
      <w:b/>
      <w:sz w:val="21"/>
      <w:szCs w:val="16"/>
      <w:shd w:val="clear" w:color="auto" w:fill="FFFFFF"/>
    </w:rPr>
  </w:style>
  <w:style w:type="character" w:customStyle="1" w:styleId="33">
    <w:name w:val="表格 字符"/>
    <w:link w:val="31"/>
    <w:qFormat/>
    <w:uiPriority w:val="0"/>
    <w:rPr>
      <w:rFonts w:ascii="Times New Roman" w:hAnsi="Times New Roman" w:eastAsia="宋体" w:cs="Times New Roman"/>
      <w:sz w:val="21"/>
      <w:szCs w:val="21"/>
    </w:rPr>
  </w:style>
  <w:style w:type="paragraph" w:customStyle="1" w:styleId="34">
    <w:name w:val="图表标题"/>
    <w:next w:val="12"/>
    <w:qFormat/>
    <w:uiPriority w:val="0"/>
    <w:pPr>
      <w:widowControl w:val="0"/>
      <w:wordWrap w:val="0"/>
      <w:spacing w:line="360" w:lineRule="auto"/>
      <w:jc w:val="center"/>
    </w:pPr>
    <w:rPr>
      <w:rFonts w:ascii="Times New Roman" w:hAnsi="Times New Roman" w:eastAsia="宋体" w:cstheme="minorBidi"/>
      <w:b/>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4545</Words>
  <Characters>4753</Characters>
  <Lines>0</Lines>
  <Paragraphs>0</Paragraphs>
  <TotalTime>3</TotalTime>
  <ScaleCrop>false</ScaleCrop>
  <LinksUpToDate>false</LinksUpToDate>
  <CharactersWithSpaces>4768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2021-06-25T08:12:00Z</dcterms:created>
  <dc:creator>蒙</dc:creator>
  <cp:lastModifiedBy>茶</cp:lastModifiedBy>
  <dcterms:modified xsi:type="dcterms:W3CDTF">2022-04-11T08:47:39Z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36CCB8AD72B54B02823734FED5B1CB89</vt:lpwstr>
  </property>
</Properties>
</file>