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hint="eastAsia"/>
          <w:sz w:val="20"/>
        </w:rPr>
      </w:pPr>
    </w:p>
    <w:p>
      <w:pPr>
        <w:pStyle w:val="14"/>
        <w:rPr>
          <w:sz w:val="20"/>
        </w:rPr>
      </w:pPr>
    </w:p>
    <w:p>
      <w:pPr>
        <w:pStyle w:val="14"/>
        <w:rPr>
          <w:sz w:val="20"/>
        </w:rPr>
      </w:pPr>
    </w:p>
    <w:p>
      <w:pPr>
        <w:pStyle w:val="14"/>
        <w:rPr>
          <w:sz w:val="20"/>
        </w:rPr>
      </w:pPr>
    </w:p>
    <w:p>
      <w:pPr>
        <w:pStyle w:val="14"/>
        <w:rPr>
          <w:sz w:val="20"/>
        </w:rPr>
      </w:pPr>
    </w:p>
    <w:p>
      <w:pPr>
        <w:pStyle w:val="14"/>
        <w:spacing w:before="2"/>
        <w:ind w:firstLine="420"/>
        <w:rPr>
          <w:sz w:val="21"/>
        </w:rPr>
      </w:pPr>
    </w:p>
    <w:p>
      <w:pPr>
        <w:spacing w:line="1239" w:lineRule="exact"/>
        <w:ind w:right="654" w:firstLine="0" w:firstLineChars="0"/>
        <w:jc w:val="center"/>
        <w:rPr>
          <w:rFonts w:ascii="宋体" w:hAnsi="宋体"/>
          <w:b/>
          <w:bCs/>
          <w:sz w:val="72"/>
          <w:szCs w:val="72"/>
        </w:rPr>
      </w:pPr>
      <w:r>
        <w:rPr>
          <w:rFonts w:hint="eastAsia" w:ascii="宋体" w:hAnsi="宋体"/>
          <w:b/>
          <w:bCs/>
          <w:sz w:val="72"/>
          <w:szCs w:val="72"/>
        </w:rPr>
        <w:t>建设项目环境影响报告表</w:t>
      </w:r>
    </w:p>
    <w:p>
      <w:pPr>
        <w:spacing w:before="115"/>
        <w:ind w:right="653" w:firstLine="0" w:firstLineChars="0"/>
        <w:jc w:val="center"/>
        <w:rPr>
          <w:rFonts w:ascii="微软雅黑" w:eastAsia="微软雅黑"/>
          <w:b/>
          <w:bCs/>
          <w:sz w:val="36"/>
          <w:szCs w:val="36"/>
        </w:rPr>
      </w:pPr>
      <w:r>
        <w:rPr>
          <w:rFonts w:hint="eastAsia" w:ascii="微软雅黑" w:eastAsia="微软雅黑"/>
          <w:b/>
          <w:bCs/>
          <w:sz w:val="36"/>
          <w:szCs w:val="36"/>
        </w:rPr>
        <w:t>（污染影响类）</w:t>
      </w:r>
    </w:p>
    <w:p>
      <w:pPr>
        <w:pStyle w:val="14"/>
        <w:ind w:firstLine="1240"/>
        <w:rPr>
          <w:rFonts w:ascii="微软雅黑"/>
          <w:sz w:val="62"/>
        </w:rPr>
      </w:pPr>
    </w:p>
    <w:p>
      <w:pPr>
        <w:pStyle w:val="14"/>
        <w:spacing w:before="3"/>
        <w:ind w:firstLine="1140"/>
        <w:rPr>
          <w:rFonts w:ascii="微软雅黑"/>
          <w:sz w:val="57"/>
        </w:rPr>
      </w:pPr>
    </w:p>
    <w:p>
      <w:pPr>
        <w:adjustRightInd w:val="0"/>
        <w:snapToGrid w:val="0"/>
        <w:spacing w:line="480" w:lineRule="auto"/>
        <w:ind w:left="0" w:leftChars="0" w:firstLine="0" w:firstLineChars="0"/>
        <w:jc w:val="both"/>
        <w:rPr>
          <w:rFonts w:cs="Times New Roman"/>
          <w:b/>
          <w:spacing w:val="-23"/>
          <w:sz w:val="36"/>
          <w:szCs w:val="36"/>
          <w:u w:val="thick"/>
        </w:rPr>
      </w:pPr>
      <w:r>
        <w:rPr>
          <w:rFonts w:cs="Times New Roman"/>
          <w:b/>
          <w:bCs/>
          <w:sz w:val="36"/>
          <w:szCs w:val="36"/>
        </w:rPr>
        <w:t>项目名称：</w:t>
      </w:r>
      <w:r>
        <w:rPr>
          <w:rFonts w:hint="eastAsia" w:cs="Times New Roman"/>
          <w:b/>
          <w:bCs/>
          <w:sz w:val="36"/>
          <w:szCs w:val="36"/>
          <w:u w:val="single"/>
          <w:lang w:val="en-US" w:eastAsia="zh-CN"/>
        </w:rPr>
        <w:t xml:space="preserve">     凤凰县沱江镇高峰垃圾转运站项目</w:t>
      </w:r>
      <w:r>
        <w:rPr>
          <w:rFonts w:hint="eastAsia" w:cs="Times New Roman"/>
          <w:b/>
          <w:bCs/>
          <w:spacing w:val="-23"/>
          <w:sz w:val="36"/>
          <w:szCs w:val="36"/>
          <w:u w:val="single"/>
          <w:lang w:val="en-US" w:eastAsia="zh-CN"/>
        </w:rPr>
        <w:t xml:space="preserve">        </w:t>
      </w:r>
    </w:p>
    <w:p>
      <w:pPr>
        <w:tabs>
          <w:tab w:val="left" w:pos="7816"/>
        </w:tabs>
        <w:kinsoku w:val="0"/>
        <w:wordWrap/>
        <w:overflowPunct w:val="0"/>
        <w:autoSpaceDE/>
        <w:autoSpaceDN/>
        <w:adjustRightInd w:val="0"/>
        <w:snapToGrid w:val="0"/>
        <w:spacing w:line="480" w:lineRule="auto"/>
        <w:ind w:firstLine="0" w:firstLineChars="0"/>
        <w:jc w:val="both"/>
        <w:rPr>
          <w:rFonts w:hint="default"/>
          <w:u w:val="single"/>
          <w:lang w:val="en-US"/>
        </w:rPr>
      </w:pPr>
      <w:r>
        <w:rPr>
          <w:rFonts w:cs="Times New Roman"/>
          <w:b/>
          <w:bCs/>
          <w:sz w:val="36"/>
          <w:szCs w:val="36"/>
        </w:rPr>
        <w:t>建设单位</w:t>
      </w:r>
      <w:r>
        <w:rPr>
          <w:rFonts w:hint="eastAsia" w:cs="Times New Roman"/>
          <w:b/>
          <w:bCs/>
          <w:sz w:val="36"/>
          <w:szCs w:val="36"/>
          <w:lang w:eastAsia="zh-CN"/>
        </w:rPr>
        <w:t>（盖章）</w:t>
      </w:r>
      <w:r>
        <w:rPr>
          <w:rFonts w:cs="Times New Roman"/>
          <w:b/>
          <w:sz w:val="36"/>
          <w:szCs w:val="36"/>
        </w:rPr>
        <w:t>：</w:t>
      </w:r>
      <w:r>
        <w:rPr>
          <w:rFonts w:hint="eastAsia" w:cs="Times New Roman"/>
          <w:b/>
          <w:sz w:val="36"/>
          <w:szCs w:val="36"/>
          <w:u w:val="single"/>
          <w:lang w:val="en-US"/>
        </w:rPr>
        <w:t xml:space="preserve"> </w:t>
      </w:r>
      <w:r>
        <w:rPr>
          <w:rFonts w:hint="eastAsia" w:cs="Times New Roman"/>
          <w:b/>
          <w:bCs/>
          <w:sz w:val="36"/>
          <w:szCs w:val="36"/>
          <w:u w:val="single"/>
          <w:lang w:val="en-US"/>
        </w:rPr>
        <w:t>凤凰县住房和城乡建设局</w:t>
      </w:r>
      <w:r>
        <w:rPr>
          <w:rFonts w:hint="eastAsia" w:cs="Times New Roman"/>
          <w:b/>
          <w:bCs/>
          <w:sz w:val="36"/>
          <w:szCs w:val="36"/>
          <w:u w:val="single"/>
          <w:lang w:val="en-US" w:eastAsia="zh-CN"/>
        </w:rPr>
        <w:t xml:space="preserve">          </w:t>
      </w:r>
    </w:p>
    <w:p>
      <w:pPr>
        <w:tabs>
          <w:tab w:val="left" w:pos="7816"/>
        </w:tabs>
        <w:kinsoku w:val="0"/>
        <w:wordWrap/>
        <w:overflowPunct w:val="0"/>
        <w:autoSpaceDE/>
        <w:autoSpaceDN/>
        <w:adjustRightInd w:val="0"/>
        <w:snapToGrid w:val="0"/>
        <w:spacing w:line="480" w:lineRule="auto"/>
        <w:ind w:firstLine="3253" w:firstLineChars="900"/>
        <w:jc w:val="both"/>
        <w:rPr>
          <w:rFonts w:hint="eastAsia" w:cs="Times New Roman"/>
          <w:b/>
          <w:bCs/>
          <w:sz w:val="36"/>
          <w:szCs w:val="36"/>
          <w:u w:val="single"/>
          <w:lang w:val="en-US"/>
        </w:rPr>
      </w:pPr>
      <w:r>
        <w:rPr>
          <w:rFonts w:hint="eastAsia"/>
          <w:b/>
          <w:bCs/>
          <w:sz w:val="36"/>
          <w:szCs w:val="36"/>
          <w:u w:val="single"/>
          <w:lang w:eastAsia="zh-CN"/>
        </w:rPr>
        <w:t>（凤凰县人民防空办公室）</w:t>
      </w:r>
      <w:r>
        <w:rPr>
          <w:rFonts w:hint="eastAsia" w:cs="Times New Roman"/>
          <w:b/>
          <w:bCs/>
          <w:sz w:val="36"/>
          <w:szCs w:val="36"/>
          <w:u w:val="single"/>
          <w:lang w:val="en-US"/>
        </w:rPr>
        <w:t xml:space="preserve">        </w:t>
      </w:r>
    </w:p>
    <w:p>
      <w:pPr>
        <w:tabs>
          <w:tab w:val="left" w:pos="7816"/>
        </w:tabs>
        <w:kinsoku w:val="0"/>
        <w:wordWrap/>
        <w:overflowPunct w:val="0"/>
        <w:autoSpaceDE/>
        <w:autoSpaceDN/>
        <w:adjustRightInd w:val="0"/>
        <w:snapToGrid w:val="0"/>
        <w:spacing w:line="480" w:lineRule="auto"/>
        <w:ind w:firstLine="0" w:firstLineChars="0"/>
        <w:jc w:val="both"/>
        <w:rPr>
          <w:rFonts w:hint="default" w:eastAsia="宋体" w:cs="Times New Roman"/>
          <w:b/>
          <w:bCs/>
          <w:sz w:val="36"/>
          <w:szCs w:val="36"/>
          <w:lang w:val="en-US" w:eastAsia="zh-CN"/>
        </w:rPr>
      </w:pPr>
      <w:r>
        <w:rPr>
          <w:rFonts w:cs="Times New Roman"/>
          <w:b/>
          <w:bCs/>
          <w:sz w:val="36"/>
          <w:szCs w:val="36"/>
        </w:rPr>
        <w:t>编制日期：</w:t>
      </w:r>
      <w:r>
        <w:rPr>
          <w:rFonts w:cs="Times New Roman"/>
          <w:b/>
          <w:bCs/>
          <w:sz w:val="36"/>
          <w:szCs w:val="36"/>
          <w:u w:val="single"/>
        </w:rPr>
        <w:t xml:space="preserve"> </w:t>
      </w:r>
      <w:r>
        <w:rPr>
          <w:rFonts w:hint="eastAsia" w:cs="Times New Roman"/>
          <w:b/>
          <w:bCs/>
          <w:sz w:val="36"/>
          <w:szCs w:val="36"/>
          <w:u w:val="single"/>
          <w:lang w:val="en-US"/>
        </w:rPr>
        <w:t xml:space="preserve">                       </w:t>
      </w:r>
      <w:r>
        <w:rPr>
          <w:rFonts w:cs="Times New Roman"/>
          <w:b/>
          <w:bCs/>
          <w:sz w:val="36"/>
          <w:szCs w:val="36"/>
          <w:u w:val="single"/>
          <w:lang w:val="en-US"/>
        </w:rPr>
        <w:t>20</w:t>
      </w:r>
      <w:r>
        <w:rPr>
          <w:rFonts w:hint="eastAsia" w:cs="Times New Roman"/>
          <w:b/>
          <w:bCs/>
          <w:sz w:val="36"/>
          <w:szCs w:val="36"/>
          <w:u w:val="single"/>
          <w:lang w:val="en-US" w:eastAsia="zh-CN"/>
        </w:rPr>
        <w:t>22</w:t>
      </w:r>
      <w:r>
        <w:rPr>
          <w:rFonts w:cs="Times New Roman"/>
          <w:b/>
          <w:bCs/>
          <w:sz w:val="36"/>
          <w:szCs w:val="36"/>
          <w:u w:val="single"/>
        </w:rPr>
        <w:t>年</w:t>
      </w:r>
      <w:r>
        <w:rPr>
          <w:rFonts w:hint="eastAsia" w:cs="Times New Roman"/>
          <w:b/>
          <w:bCs/>
          <w:sz w:val="36"/>
          <w:szCs w:val="36"/>
          <w:u w:val="single"/>
          <w:lang w:val="en-US" w:eastAsia="zh-CN"/>
        </w:rPr>
        <w:t>1</w:t>
      </w:r>
      <w:r>
        <w:rPr>
          <w:rFonts w:cs="Times New Roman"/>
          <w:b/>
          <w:bCs/>
          <w:sz w:val="36"/>
          <w:szCs w:val="36"/>
          <w:u w:val="single"/>
        </w:rPr>
        <w:t>月</w:t>
      </w:r>
      <w:r>
        <w:rPr>
          <w:rFonts w:cs="Times New Roman"/>
          <w:b/>
          <w:bCs/>
          <w:sz w:val="36"/>
          <w:szCs w:val="36"/>
          <w:u w:val="single"/>
        </w:rPr>
        <w:tab/>
      </w:r>
      <w:r>
        <w:rPr>
          <w:rFonts w:hint="eastAsia" w:cs="Times New Roman"/>
          <w:b/>
          <w:bCs/>
          <w:sz w:val="36"/>
          <w:szCs w:val="36"/>
          <w:u w:val="single"/>
          <w:lang w:val="en-US" w:eastAsia="zh-CN"/>
        </w:rPr>
        <w:t xml:space="preserve">     </w:t>
      </w:r>
    </w:p>
    <w:p>
      <w:pPr>
        <w:pStyle w:val="38"/>
      </w:pPr>
    </w:p>
    <w:p>
      <w:pPr>
        <w:pStyle w:val="38"/>
      </w:pPr>
    </w:p>
    <w:p>
      <w:pPr>
        <w:pStyle w:val="38"/>
      </w:pPr>
    </w:p>
    <w:p>
      <w:pPr>
        <w:pStyle w:val="38"/>
      </w:pPr>
    </w:p>
    <w:p>
      <w:pPr>
        <w:pStyle w:val="38"/>
      </w:pPr>
    </w:p>
    <w:p>
      <w:pPr>
        <w:pStyle w:val="38"/>
      </w:pPr>
    </w:p>
    <w:p>
      <w:pPr>
        <w:pStyle w:val="38"/>
      </w:pPr>
    </w:p>
    <w:p>
      <w:pPr>
        <w:tabs>
          <w:tab w:val="left" w:pos="1200"/>
        </w:tabs>
        <w:spacing w:before="183"/>
        <w:ind w:right="654" w:firstLine="0" w:firstLineChars="0"/>
        <w:jc w:val="center"/>
        <w:rPr>
          <w:rFonts w:ascii="宋体" w:hAnsi="宋体"/>
          <w:b/>
          <w:bCs/>
          <w:sz w:val="36"/>
        </w:rPr>
      </w:pPr>
      <w:r>
        <w:rPr>
          <w:rFonts w:hint="eastAsia" w:ascii="宋体" w:hAnsi="宋体"/>
          <w:b/>
          <w:bCs/>
          <w:sz w:val="36"/>
        </w:rPr>
        <w:t>中华人民共和国生态环境部制</w:t>
      </w:r>
    </w:p>
    <w:p>
      <w:pPr>
        <w:pStyle w:val="30"/>
        <w:ind w:left="480" w:firstLine="643"/>
        <w:jc w:val="center"/>
        <w:rPr>
          <w:rFonts w:cs="Times New Roman"/>
          <w:b/>
          <w:sz w:val="32"/>
        </w:rPr>
        <w:sectPr>
          <w:footerReference r:id="rId5" w:type="default"/>
          <w:footerReference r:id="rId6" w:type="even"/>
          <w:pgSz w:w="11910" w:h="16840"/>
          <w:pgMar w:top="1440" w:right="1576" w:bottom="1440" w:left="1576" w:header="0" w:footer="1043" w:gutter="0"/>
          <w:cols w:space="720" w:num="1"/>
        </w:sectPr>
      </w:pPr>
    </w:p>
    <w:p>
      <w:pPr>
        <w:pStyle w:val="14"/>
        <w:spacing w:before="58"/>
        <w:ind w:left="635" w:right="653" w:firstLine="480"/>
        <w:jc w:val="center"/>
        <w:sectPr>
          <w:footerReference r:id="rId7" w:type="default"/>
          <w:footerReference r:id="rId8" w:type="even"/>
          <w:pgSz w:w="11910" w:h="16840"/>
          <w:pgMar w:top="1580" w:right="1320" w:bottom="1240" w:left="1340" w:header="0" w:footer="1043" w:gutter="0"/>
          <w:cols w:space="720" w:num="1"/>
        </w:sectPr>
      </w:pPr>
    </w:p>
    <w:p>
      <w:pPr>
        <w:spacing w:after="240" w:line="240" w:lineRule="auto"/>
        <w:ind w:firstLine="0" w:firstLineChars="0"/>
        <w:jc w:val="center"/>
        <w:rPr>
          <w:rFonts w:hAnsi="Calibri"/>
          <w:b/>
          <w:sz w:val="32"/>
          <w:szCs w:val="32"/>
        </w:rPr>
      </w:pPr>
      <w:r>
        <w:rPr>
          <w:rFonts w:hint="eastAsia" w:hAnsi="Calibri"/>
          <w:b/>
          <w:sz w:val="32"/>
          <w:szCs w:val="32"/>
        </w:rPr>
        <w:t>《</w:t>
      </w:r>
      <w:r>
        <w:rPr>
          <w:rFonts w:hint="eastAsia" w:hAnsi="Calibri"/>
          <w:b/>
          <w:sz w:val="32"/>
          <w:szCs w:val="32"/>
          <w:lang w:eastAsia="zh-CN"/>
        </w:rPr>
        <w:t>凤凰县沱江镇高峰垃圾转运站项目</w:t>
      </w:r>
      <w:r>
        <w:rPr>
          <w:rFonts w:hint="eastAsia" w:hAnsi="Calibri"/>
          <w:b/>
          <w:sz w:val="32"/>
          <w:szCs w:val="32"/>
        </w:rPr>
        <w:t>》专家评审意见修改说明单</w:t>
      </w:r>
    </w:p>
    <w:tbl>
      <w:tblPr>
        <w:tblStyle w:val="31"/>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7305"/>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vAlign w:val="center"/>
          </w:tcPr>
          <w:p>
            <w:pPr>
              <w:pStyle w:val="38"/>
              <w:rPr>
                <w:b/>
                <w:bCs/>
              </w:rPr>
            </w:pPr>
            <w:r>
              <w:rPr>
                <w:rFonts w:hint="eastAsia"/>
                <w:b/>
                <w:bCs/>
              </w:rPr>
              <w:t>序号</w:t>
            </w:r>
          </w:p>
        </w:tc>
        <w:tc>
          <w:tcPr>
            <w:tcW w:w="2576" w:type="pct"/>
            <w:vAlign w:val="center"/>
          </w:tcPr>
          <w:p>
            <w:pPr>
              <w:pStyle w:val="38"/>
              <w:rPr>
                <w:b/>
                <w:bCs/>
              </w:rPr>
            </w:pPr>
            <w:r>
              <w:rPr>
                <w:rFonts w:hint="eastAsia"/>
                <w:b/>
                <w:bCs/>
              </w:rPr>
              <w:t>专家意见</w:t>
            </w:r>
          </w:p>
        </w:tc>
        <w:tc>
          <w:tcPr>
            <w:tcW w:w="2133" w:type="pct"/>
            <w:vAlign w:val="center"/>
          </w:tcPr>
          <w:p>
            <w:pPr>
              <w:pStyle w:val="38"/>
              <w:rPr>
                <w:b/>
                <w:bCs/>
              </w:rPr>
            </w:pPr>
            <w:r>
              <w:rPr>
                <w:rFonts w:hint="eastAsia"/>
                <w:b/>
                <w:bCs/>
              </w:rPr>
              <w:t>修改说明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vAlign w:val="center"/>
          </w:tcPr>
          <w:p>
            <w:pPr>
              <w:pStyle w:val="38"/>
            </w:pPr>
            <w:r>
              <w:rPr>
                <w:rFonts w:hint="eastAsia"/>
              </w:rPr>
              <w:t>1</w:t>
            </w:r>
          </w:p>
        </w:tc>
        <w:tc>
          <w:tcPr>
            <w:tcW w:w="2576" w:type="pct"/>
            <w:vAlign w:val="center"/>
          </w:tcPr>
          <w:p>
            <w:pPr>
              <w:pStyle w:val="38"/>
              <w:jc w:val="both"/>
            </w:pPr>
            <w:r>
              <w:rPr>
                <w:rFonts w:hint="eastAsia"/>
              </w:rPr>
              <w:t>核实项目产业政策符合性，并结合凤凰县城市环境卫生行业规划、《生活垃圾转运站工程项目建设标准》（建标117—2009）等相关规划及标准、项目用地性质、项目选址所在地管控单元、项目周边环境特征等，进一步分析项目规划符合性及选址合理性。</w:t>
            </w:r>
          </w:p>
        </w:tc>
        <w:tc>
          <w:tcPr>
            <w:tcW w:w="2133" w:type="pct"/>
            <w:vAlign w:val="center"/>
          </w:tcPr>
          <w:p>
            <w:pPr>
              <w:pStyle w:val="38"/>
              <w:numPr>
                <w:ilvl w:val="0"/>
                <w:numId w:val="1"/>
              </w:numPr>
              <w:jc w:val="both"/>
              <w:rPr>
                <w:lang w:val="en-US"/>
              </w:rPr>
            </w:pPr>
            <w:r>
              <w:rPr>
                <w:rFonts w:hint="eastAsia"/>
                <w:lang w:val="en-US" w:eastAsia="zh-CN"/>
              </w:rPr>
              <w:t>已</w:t>
            </w:r>
            <w:r>
              <w:rPr>
                <w:rFonts w:hint="eastAsia"/>
              </w:rPr>
              <w:t>核实项目产业政策符合性，</w:t>
            </w:r>
            <w:r>
              <w:rPr>
                <w:rFonts w:hint="eastAsia"/>
                <w:lang w:eastAsia="zh-CN"/>
              </w:rPr>
              <w:t>已补充</w:t>
            </w:r>
            <w:r>
              <w:rPr>
                <w:rFonts w:hint="eastAsia"/>
              </w:rPr>
              <w:t>《生活垃圾转运站工程项目建设标准》（建标117—2009）</w:t>
            </w:r>
            <w:r>
              <w:rPr>
                <w:rFonts w:hint="eastAsia"/>
                <w:lang w:eastAsia="zh-CN"/>
              </w:rPr>
              <w:t>符合性分析，并根据</w:t>
            </w:r>
            <w:r>
              <w:rPr>
                <w:rFonts w:hint="eastAsia"/>
              </w:rPr>
              <w:t>《生活垃圾转运站工程项目建设标准》（建标117—2009）</w:t>
            </w:r>
            <w:r>
              <w:rPr>
                <w:rFonts w:hint="eastAsia"/>
                <w:lang w:eastAsia="zh-CN"/>
              </w:rPr>
              <w:t>完善</w:t>
            </w:r>
            <w:r>
              <w:rPr>
                <w:rFonts w:hint="eastAsia"/>
              </w:rPr>
              <w:t>选址合理性，详见P</w:t>
            </w:r>
            <w:r>
              <w:rPr>
                <w:rFonts w:hint="eastAsia"/>
                <w:lang w:val="en-US" w:eastAsia="zh-CN"/>
              </w:rPr>
              <w:t>6-9</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89" w:type="pct"/>
            <w:vAlign w:val="center"/>
          </w:tcPr>
          <w:p>
            <w:pPr>
              <w:pStyle w:val="38"/>
            </w:pPr>
            <w:r>
              <w:rPr>
                <w:rFonts w:hint="eastAsia"/>
              </w:rPr>
              <w:t>2</w:t>
            </w:r>
          </w:p>
        </w:tc>
        <w:tc>
          <w:tcPr>
            <w:tcW w:w="2576" w:type="pct"/>
            <w:vAlign w:val="center"/>
          </w:tcPr>
          <w:p>
            <w:pPr>
              <w:pStyle w:val="38"/>
              <w:jc w:val="both"/>
              <w:rPr>
                <w:lang w:val="en-US"/>
              </w:rPr>
            </w:pPr>
            <w:r>
              <w:rPr>
                <w:rFonts w:hint="eastAsia"/>
                <w:lang w:val="en-US" w:eastAsia="zh-CN"/>
              </w:rPr>
              <w:t>核实项目生</w:t>
            </w:r>
            <w:r>
              <w:rPr>
                <w:rFonts w:hint="eastAsia"/>
                <w:lang w:val="en-US"/>
              </w:rPr>
              <w:t>活垃圾收集范围</w:t>
            </w:r>
            <w:r>
              <w:rPr>
                <w:rFonts w:hint="eastAsia"/>
                <w:lang w:val="en-US" w:eastAsia="zh-CN"/>
              </w:rPr>
              <w:t>、种类；完善主要工程内容、</w:t>
            </w:r>
            <w:r>
              <w:rPr>
                <w:rFonts w:hint="eastAsia"/>
                <w:lang w:val="en-US"/>
              </w:rPr>
              <w:t>主要生产设备清单</w:t>
            </w:r>
            <w:r>
              <w:rPr>
                <w:rFonts w:hint="eastAsia"/>
                <w:lang w:val="en-US" w:eastAsia="zh-CN"/>
              </w:rPr>
              <w:t>；</w:t>
            </w:r>
            <w:r>
              <w:rPr>
                <w:rFonts w:hint="eastAsia"/>
                <w:lang w:val="en-US"/>
              </w:rPr>
              <w:t>补充原辅材料</w:t>
            </w:r>
            <w:r>
              <w:rPr>
                <w:rFonts w:hint="eastAsia"/>
                <w:lang w:val="en-US" w:eastAsia="zh-CN"/>
              </w:rPr>
              <w:t>、能源消耗</w:t>
            </w:r>
            <w:r>
              <w:rPr>
                <w:rFonts w:hint="eastAsia"/>
                <w:lang w:val="en-US"/>
              </w:rPr>
              <w:t>情况</w:t>
            </w:r>
            <w:r>
              <w:rPr>
                <w:rFonts w:hint="eastAsia"/>
                <w:lang w:val="en-US" w:eastAsia="zh-CN"/>
              </w:rPr>
              <w:t>，明确除臭剂，并补充其理化性质说明；根据项目占地及与</w:t>
            </w:r>
            <w:r>
              <w:rPr>
                <w:rFonts w:hint="eastAsia"/>
                <w:lang w:val="en-US"/>
              </w:rPr>
              <w:t>凤凰县生活垃圾填埋场位置关系</w:t>
            </w:r>
            <w:r>
              <w:rPr>
                <w:rFonts w:hint="eastAsia"/>
                <w:lang w:val="en-US" w:eastAsia="zh-CN"/>
              </w:rPr>
              <w:t>，完善</w:t>
            </w:r>
            <w:r>
              <w:rPr>
                <w:rFonts w:hint="eastAsia"/>
                <w:lang w:val="en-US"/>
              </w:rPr>
              <w:t>四至情况</w:t>
            </w:r>
            <w:r>
              <w:rPr>
                <w:rFonts w:hint="eastAsia"/>
                <w:lang w:val="en-US" w:eastAsia="zh-CN"/>
              </w:rPr>
              <w:t>；结合收运方式及种类核实渗滤液源强；补充维修车间污染物产排情况；核实并完善工作制度、项目用排水、水平衡及土石方平衡</w:t>
            </w:r>
            <w:r>
              <w:rPr>
                <w:rFonts w:hint="eastAsia"/>
                <w:lang w:val="en-US"/>
              </w:rPr>
              <w:t>。</w:t>
            </w:r>
          </w:p>
        </w:tc>
        <w:tc>
          <w:tcPr>
            <w:tcW w:w="2133" w:type="pct"/>
            <w:vAlign w:val="center"/>
          </w:tcPr>
          <w:p>
            <w:pPr>
              <w:pStyle w:val="38"/>
              <w:jc w:val="both"/>
              <w:rPr>
                <w:rFonts w:hint="eastAsia" w:eastAsia="宋体"/>
                <w:lang w:eastAsia="zh-CN"/>
              </w:rPr>
            </w:pPr>
            <w:r>
              <w:rPr>
                <w:rFonts w:hint="eastAsia"/>
                <w:lang w:val="en-US"/>
              </w:rPr>
              <w:t>1、</w:t>
            </w:r>
            <w:r>
              <w:rPr>
                <w:rFonts w:hint="eastAsia"/>
                <w:lang w:val="en-US" w:eastAsia="zh-CN"/>
              </w:rPr>
              <w:t>全文</w:t>
            </w:r>
            <w:r>
              <w:rPr>
                <w:rFonts w:hint="eastAsia"/>
              </w:rPr>
              <w:t>已</w:t>
            </w:r>
            <w:r>
              <w:rPr>
                <w:rFonts w:hint="eastAsia"/>
                <w:lang w:val="en-US" w:eastAsia="zh-CN"/>
              </w:rPr>
              <w:t>核实项目生</w:t>
            </w:r>
            <w:r>
              <w:rPr>
                <w:rFonts w:hint="eastAsia"/>
                <w:lang w:val="en-US"/>
              </w:rPr>
              <w:t>活垃圾收集范围</w:t>
            </w:r>
            <w:r>
              <w:rPr>
                <w:rFonts w:hint="eastAsia"/>
                <w:lang w:val="en-US" w:eastAsia="zh-CN"/>
              </w:rPr>
              <w:t>、种类</w:t>
            </w:r>
            <w:r>
              <w:rPr>
                <w:rFonts w:hint="eastAsia"/>
              </w:rPr>
              <w:t>；</w:t>
            </w:r>
            <w:r>
              <w:rPr>
                <w:rFonts w:hint="eastAsia"/>
                <w:lang w:val="en-US"/>
              </w:rPr>
              <w:t>2、</w:t>
            </w:r>
            <w:r>
              <w:rPr>
                <w:rFonts w:hint="eastAsia"/>
              </w:rPr>
              <w:t>已</w:t>
            </w:r>
            <w:r>
              <w:rPr>
                <w:rFonts w:hint="eastAsia"/>
                <w:lang w:val="en-US" w:eastAsia="zh-CN"/>
              </w:rPr>
              <w:t>完善主要工程内容、</w:t>
            </w:r>
            <w:r>
              <w:rPr>
                <w:rFonts w:hint="eastAsia"/>
                <w:lang w:val="en-US"/>
              </w:rPr>
              <w:t>主要生产设备清单</w:t>
            </w:r>
            <w:r>
              <w:rPr>
                <w:rFonts w:hint="eastAsia"/>
                <w:lang w:val="en-US" w:eastAsia="zh-CN"/>
              </w:rPr>
              <w:t>，</w:t>
            </w:r>
            <w:r>
              <w:rPr>
                <w:rFonts w:hint="eastAsia"/>
              </w:rPr>
              <w:t>详见P</w:t>
            </w:r>
            <w:r>
              <w:rPr>
                <w:rFonts w:hint="eastAsia"/>
                <w:lang w:val="en-US" w:eastAsia="zh-CN"/>
              </w:rPr>
              <w:t>12-13、P15；3、已</w:t>
            </w:r>
            <w:r>
              <w:rPr>
                <w:rFonts w:hint="eastAsia"/>
                <w:lang w:val="en-US"/>
              </w:rPr>
              <w:t>补充原辅材料</w:t>
            </w:r>
            <w:r>
              <w:rPr>
                <w:rFonts w:hint="eastAsia"/>
                <w:lang w:val="en-US" w:eastAsia="zh-CN"/>
              </w:rPr>
              <w:t>、能源消耗</w:t>
            </w:r>
            <w:r>
              <w:rPr>
                <w:rFonts w:hint="eastAsia"/>
                <w:lang w:val="en-US"/>
              </w:rPr>
              <w:t>情况</w:t>
            </w:r>
            <w:r>
              <w:rPr>
                <w:rFonts w:hint="eastAsia"/>
                <w:lang w:val="en-US" w:eastAsia="zh-CN"/>
              </w:rPr>
              <w:t>，明确除臭剂，并补充其理化性质说明</w:t>
            </w:r>
            <w:r>
              <w:rPr>
                <w:rFonts w:hint="eastAsia"/>
              </w:rPr>
              <w:t>，详见P</w:t>
            </w:r>
            <w:r>
              <w:rPr>
                <w:rFonts w:hint="eastAsia"/>
                <w:lang w:val="en-US" w:eastAsia="zh-CN"/>
              </w:rPr>
              <w:t>15-</w:t>
            </w:r>
            <w:r>
              <w:rPr>
                <w:rFonts w:hint="eastAsia"/>
                <w:lang w:val="en-US"/>
              </w:rPr>
              <w:t>1</w:t>
            </w:r>
            <w:r>
              <w:rPr>
                <w:rFonts w:hint="eastAsia"/>
                <w:lang w:val="en-US" w:eastAsia="zh-CN"/>
              </w:rPr>
              <w:t>6</w:t>
            </w:r>
            <w:r>
              <w:rPr>
                <w:rFonts w:hint="eastAsia"/>
              </w:rPr>
              <w:t>；</w:t>
            </w:r>
            <w:r>
              <w:rPr>
                <w:rFonts w:hint="eastAsia"/>
                <w:lang w:val="en-US" w:eastAsia="zh-CN"/>
              </w:rPr>
              <w:t>4</w:t>
            </w:r>
            <w:r>
              <w:rPr>
                <w:rFonts w:hint="eastAsia"/>
                <w:lang w:val="en-US"/>
              </w:rPr>
              <w:t>、</w:t>
            </w:r>
            <w:r>
              <w:rPr>
                <w:rFonts w:hint="eastAsia"/>
                <w:lang w:val="en-US" w:eastAsia="zh-CN"/>
              </w:rPr>
              <w:t>已根据项目占地及与</w:t>
            </w:r>
            <w:r>
              <w:rPr>
                <w:rFonts w:hint="eastAsia"/>
                <w:lang w:val="en-US"/>
              </w:rPr>
              <w:t>凤凰县生活垃圾填埋场位置关系</w:t>
            </w:r>
            <w:r>
              <w:rPr>
                <w:rFonts w:hint="eastAsia"/>
                <w:lang w:val="en-US" w:eastAsia="zh-CN"/>
              </w:rPr>
              <w:t>，完善</w:t>
            </w:r>
            <w:r>
              <w:rPr>
                <w:rFonts w:hint="eastAsia"/>
                <w:lang w:val="en-US"/>
              </w:rPr>
              <w:t>四至情况</w:t>
            </w:r>
            <w:r>
              <w:rPr>
                <w:rFonts w:hint="eastAsia"/>
              </w:rPr>
              <w:t>，详见P</w:t>
            </w:r>
            <w:r>
              <w:rPr>
                <w:rFonts w:hint="eastAsia"/>
                <w:lang w:val="en-US"/>
              </w:rPr>
              <w:t>19</w:t>
            </w:r>
            <w:r>
              <w:rPr>
                <w:rFonts w:hint="eastAsia"/>
                <w:lang w:eastAsia="zh-CN"/>
              </w:rPr>
              <w:t>；</w:t>
            </w:r>
            <w:r>
              <w:rPr>
                <w:rFonts w:hint="eastAsia"/>
                <w:lang w:val="en-US" w:eastAsia="zh-CN"/>
              </w:rPr>
              <w:t>5</w:t>
            </w:r>
            <w:r>
              <w:rPr>
                <w:rFonts w:hint="eastAsia"/>
                <w:lang w:val="en-US"/>
              </w:rPr>
              <w:t>、</w:t>
            </w:r>
            <w:r>
              <w:rPr>
                <w:rFonts w:hint="eastAsia"/>
                <w:lang w:val="en-US" w:eastAsia="zh-CN"/>
              </w:rPr>
              <w:t>已结合收运方式及种类核实渗滤液源强</w:t>
            </w:r>
            <w:r>
              <w:rPr>
                <w:rFonts w:hint="eastAsia"/>
              </w:rPr>
              <w:t>，详见P</w:t>
            </w:r>
            <w:r>
              <w:rPr>
                <w:rFonts w:hint="eastAsia"/>
                <w:lang w:val="en-US"/>
              </w:rPr>
              <w:t>1</w:t>
            </w:r>
            <w:r>
              <w:rPr>
                <w:rFonts w:hint="eastAsia"/>
                <w:lang w:val="en-US" w:eastAsia="zh-CN"/>
              </w:rPr>
              <w:t>7；6</w:t>
            </w:r>
            <w:r>
              <w:rPr>
                <w:rFonts w:hint="eastAsia"/>
                <w:lang w:val="en-US"/>
              </w:rPr>
              <w:t>、</w:t>
            </w:r>
            <w:r>
              <w:rPr>
                <w:rFonts w:hint="eastAsia"/>
                <w:lang w:val="en-US" w:eastAsia="zh-CN"/>
              </w:rPr>
              <w:t>已补充维修车间污染物产排情况</w:t>
            </w:r>
            <w:r>
              <w:rPr>
                <w:rFonts w:hint="eastAsia"/>
              </w:rPr>
              <w:t>，详见P</w:t>
            </w:r>
            <w:r>
              <w:rPr>
                <w:rFonts w:hint="eastAsia"/>
                <w:lang w:val="en-US" w:eastAsia="zh-CN"/>
              </w:rPr>
              <w:t>48-49；7</w:t>
            </w:r>
            <w:r>
              <w:rPr>
                <w:rFonts w:hint="eastAsia"/>
                <w:lang w:val="en-US"/>
              </w:rPr>
              <w:t>、</w:t>
            </w:r>
            <w:r>
              <w:rPr>
                <w:rFonts w:hint="eastAsia"/>
                <w:lang w:val="en-US" w:eastAsia="zh-CN"/>
              </w:rPr>
              <w:t>已核实并完善工作制度</w:t>
            </w:r>
            <w:r>
              <w:rPr>
                <w:rFonts w:hint="eastAsia"/>
              </w:rPr>
              <w:t>，详见P</w:t>
            </w:r>
            <w:r>
              <w:rPr>
                <w:rFonts w:hint="eastAsia"/>
                <w:lang w:val="en-US" w:eastAsia="zh-CN"/>
              </w:rPr>
              <w:t>16；8</w:t>
            </w:r>
            <w:r>
              <w:rPr>
                <w:rFonts w:hint="eastAsia"/>
                <w:lang w:val="en-US"/>
              </w:rPr>
              <w:t>、</w:t>
            </w:r>
            <w:r>
              <w:rPr>
                <w:rFonts w:hint="eastAsia"/>
                <w:lang w:val="en-US" w:eastAsia="zh-CN"/>
              </w:rPr>
              <w:t>已核实项目用排水、水平衡及土石方平衡</w:t>
            </w:r>
            <w:r>
              <w:rPr>
                <w:rFonts w:hint="eastAsia"/>
              </w:rPr>
              <w:t>，详见P</w:t>
            </w:r>
            <w:r>
              <w:rPr>
                <w:rFonts w:hint="eastAsia"/>
                <w:lang w:val="en-US" w:eastAsia="zh-CN"/>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vAlign w:val="center"/>
          </w:tcPr>
          <w:p>
            <w:pPr>
              <w:pStyle w:val="38"/>
            </w:pPr>
            <w:r>
              <w:rPr>
                <w:rFonts w:hint="eastAsia"/>
              </w:rPr>
              <w:t>3</w:t>
            </w:r>
          </w:p>
        </w:tc>
        <w:tc>
          <w:tcPr>
            <w:tcW w:w="2576" w:type="pct"/>
            <w:vAlign w:val="center"/>
          </w:tcPr>
          <w:p>
            <w:pPr>
              <w:pStyle w:val="38"/>
              <w:jc w:val="both"/>
            </w:pPr>
            <w:r>
              <w:rPr>
                <w:rFonts w:hint="eastAsia"/>
                <w:lang w:val="en-US" w:eastAsia="zh-CN"/>
              </w:rPr>
              <w:t>补充项目收纳范围原有垃圾收运、处置情况，并结合项目占地实际情况，完善与项目有关的原有环境污染问题说明</w:t>
            </w:r>
            <w:r>
              <w:rPr>
                <w:rFonts w:hint="eastAsia"/>
              </w:rPr>
              <w:t>。</w:t>
            </w:r>
          </w:p>
        </w:tc>
        <w:tc>
          <w:tcPr>
            <w:tcW w:w="2133" w:type="pct"/>
            <w:vAlign w:val="center"/>
          </w:tcPr>
          <w:p>
            <w:pPr>
              <w:pStyle w:val="38"/>
              <w:jc w:val="both"/>
              <w:rPr>
                <w:rFonts w:hint="eastAsia" w:eastAsia="宋体"/>
                <w:lang w:val="en-US" w:eastAsia="zh-CN"/>
              </w:rPr>
            </w:pPr>
            <w:r>
              <w:rPr>
                <w:rFonts w:hint="eastAsia"/>
                <w:lang w:val="en-US"/>
              </w:rPr>
              <w:t>1、已</w:t>
            </w:r>
            <w:r>
              <w:rPr>
                <w:rFonts w:hint="eastAsia"/>
                <w:lang w:val="en-US" w:eastAsia="zh-CN"/>
              </w:rPr>
              <w:t>补充项目收纳范围原有垃圾收运、处置情况</w:t>
            </w:r>
            <w:r>
              <w:rPr>
                <w:rFonts w:hint="eastAsia"/>
                <w:lang w:val="en-US"/>
              </w:rPr>
              <w:t>，</w:t>
            </w:r>
            <w:r>
              <w:rPr>
                <w:rFonts w:hint="eastAsia"/>
              </w:rPr>
              <w:t>详见P</w:t>
            </w:r>
            <w:r>
              <w:rPr>
                <w:rFonts w:hint="eastAsia"/>
                <w:lang w:val="en-US" w:eastAsia="zh-CN"/>
              </w:rPr>
              <w:t>11</w:t>
            </w:r>
            <w:r>
              <w:rPr>
                <w:rFonts w:hint="eastAsia"/>
                <w:lang w:val="en-US"/>
              </w:rPr>
              <w:t>；2、已</w:t>
            </w:r>
            <w:r>
              <w:rPr>
                <w:rFonts w:hint="eastAsia"/>
                <w:lang w:val="en-US" w:eastAsia="zh-CN"/>
              </w:rPr>
              <w:t>完善与项目有关的原有环境污染问题说明</w:t>
            </w:r>
            <w:r>
              <w:rPr>
                <w:rFonts w:hint="eastAsia"/>
                <w:lang w:val="en-US"/>
              </w:rPr>
              <w:t>，</w:t>
            </w:r>
            <w:r>
              <w:rPr>
                <w:rFonts w:hint="eastAsia"/>
              </w:rPr>
              <w:t>详见P</w:t>
            </w:r>
            <w:r>
              <w:rPr>
                <w:rFonts w:hint="eastAsia"/>
                <w:lang w:val="en-US" w:eastAsia="zh-CN"/>
              </w:rPr>
              <w:t>23</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vAlign w:val="center"/>
          </w:tcPr>
          <w:p>
            <w:pPr>
              <w:pStyle w:val="38"/>
            </w:pPr>
            <w:r>
              <w:rPr>
                <w:rFonts w:hint="eastAsia"/>
              </w:rPr>
              <w:t>4</w:t>
            </w:r>
          </w:p>
        </w:tc>
        <w:tc>
          <w:tcPr>
            <w:tcW w:w="2576" w:type="pct"/>
            <w:vAlign w:val="center"/>
          </w:tcPr>
          <w:p>
            <w:pPr>
              <w:pStyle w:val="38"/>
              <w:jc w:val="both"/>
              <w:rPr>
                <w:lang w:val="en-US"/>
              </w:rPr>
            </w:pPr>
            <w:r>
              <w:rPr>
                <w:rFonts w:hint="eastAsia"/>
                <w:lang w:val="en-US" w:eastAsia="zh-CN"/>
              </w:rPr>
              <w:t>核实水污染物排放和固体废物控制标准，完善环境保护目标</w:t>
            </w:r>
            <w:r>
              <w:rPr>
                <w:rFonts w:hint="eastAsia"/>
              </w:rPr>
              <w:t>。</w:t>
            </w:r>
          </w:p>
        </w:tc>
        <w:tc>
          <w:tcPr>
            <w:tcW w:w="2133" w:type="pct"/>
            <w:vAlign w:val="center"/>
          </w:tcPr>
          <w:p>
            <w:pPr>
              <w:pStyle w:val="38"/>
              <w:jc w:val="both"/>
              <w:rPr>
                <w:rFonts w:hint="default" w:eastAsia="宋体"/>
                <w:lang w:val="en-US" w:eastAsia="zh-CN"/>
              </w:rPr>
            </w:pPr>
            <w:r>
              <w:rPr>
                <w:rFonts w:hint="eastAsia"/>
                <w:lang w:val="en-US"/>
              </w:rPr>
              <w:t>1、</w:t>
            </w:r>
            <w:r>
              <w:rPr>
                <w:rFonts w:hint="eastAsia"/>
                <w:lang w:val="en-US" w:eastAsia="zh-CN"/>
              </w:rPr>
              <w:t>核实水污染物排放和固体废物控制标准</w:t>
            </w:r>
            <w:r>
              <w:rPr>
                <w:rFonts w:hint="eastAsia"/>
              </w:rPr>
              <w:t>，详见P</w:t>
            </w:r>
            <w:r>
              <w:rPr>
                <w:rFonts w:hint="eastAsia"/>
                <w:lang w:val="en-US" w:eastAsia="zh-CN"/>
              </w:rPr>
              <w:t>29-30</w:t>
            </w:r>
            <w:r>
              <w:rPr>
                <w:rFonts w:hint="eastAsia"/>
                <w:lang w:val="en-US"/>
              </w:rPr>
              <w:t>；2、</w:t>
            </w:r>
            <w:r>
              <w:rPr>
                <w:rFonts w:hint="eastAsia"/>
                <w:lang w:val="en-US" w:eastAsia="zh-CN"/>
              </w:rPr>
              <w:t>已完善环境保护目标</w:t>
            </w:r>
            <w:r>
              <w:rPr>
                <w:rFonts w:hint="eastAsia"/>
              </w:rPr>
              <w:t>，详见P</w:t>
            </w:r>
            <w:r>
              <w:rPr>
                <w:rFonts w:hint="eastAsia"/>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vAlign w:val="center"/>
          </w:tcPr>
          <w:p>
            <w:pPr>
              <w:pStyle w:val="38"/>
              <w:jc w:val="both"/>
            </w:pPr>
            <w:r>
              <w:rPr>
                <w:rFonts w:hint="eastAsia"/>
              </w:rPr>
              <w:t>5</w:t>
            </w:r>
          </w:p>
        </w:tc>
        <w:tc>
          <w:tcPr>
            <w:tcW w:w="2576" w:type="pct"/>
            <w:vAlign w:val="center"/>
          </w:tcPr>
          <w:p>
            <w:pPr>
              <w:pStyle w:val="38"/>
              <w:jc w:val="both"/>
              <w:rPr>
                <w:lang w:val="en-US"/>
              </w:rPr>
            </w:pPr>
            <w:r>
              <w:rPr>
                <w:rFonts w:hint="eastAsia"/>
                <w:lang w:val="en-US" w:eastAsia="zh-CN"/>
              </w:rPr>
              <w:t>核实营运期废气源强，细化除臭工艺说明，补充处理效率来源，完善排气筒高度设置的合理性分析</w:t>
            </w:r>
            <w:r>
              <w:rPr>
                <w:rFonts w:hint="eastAsia"/>
              </w:rPr>
              <w:t>。</w:t>
            </w:r>
          </w:p>
        </w:tc>
        <w:tc>
          <w:tcPr>
            <w:tcW w:w="2133" w:type="pct"/>
            <w:vAlign w:val="center"/>
          </w:tcPr>
          <w:p>
            <w:pPr>
              <w:pStyle w:val="38"/>
              <w:jc w:val="both"/>
            </w:pPr>
            <w:r>
              <w:rPr>
                <w:rFonts w:hint="eastAsia"/>
                <w:lang w:val="en-US"/>
              </w:rPr>
              <w:t>1、</w:t>
            </w:r>
            <w:r>
              <w:rPr>
                <w:rFonts w:hint="eastAsia"/>
              </w:rPr>
              <w:t>已</w:t>
            </w:r>
            <w:r>
              <w:rPr>
                <w:rFonts w:hint="eastAsia"/>
                <w:lang w:val="en-US" w:eastAsia="zh-CN"/>
              </w:rPr>
              <w:t>核实营运期废气源强，细化除臭工艺说明，补充处理效率来源，完善排气筒高度设置的合理性分析</w:t>
            </w:r>
            <w:r>
              <w:rPr>
                <w:rFonts w:hint="eastAsia"/>
              </w:rPr>
              <w:t>，详见</w:t>
            </w:r>
            <w:r>
              <w:rPr>
                <w:rFonts w:hint="eastAsia"/>
                <w:lang w:val="en-US"/>
              </w:rPr>
              <w:t>P</w:t>
            </w:r>
            <w:r>
              <w:rPr>
                <w:rFonts w:hint="eastAsia"/>
                <w:lang w:val="en-US" w:eastAsia="zh-CN"/>
              </w:rPr>
              <w:t>35-40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289" w:type="pct"/>
            <w:vAlign w:val="center"/>
          </w:tcPr>
          <w:p>
            <w:pPr>
              <w:pStyle w:val="38"/>
            </w:pPr>
            <w:r>
              <w:rPr>
                <w:rFonts w:hint="eastAsia"/>
              </w:rPr>
              <w:t>6</w:t>
            </w:r>
          </w:p>
        </w:tc>
        <w:tc>
          <w:tcPr>
            <w:tcW w:w="2576" w:type="pct"/>
            <w:vAlign w:val="center"/>
          </w:tcPr>
          <w:p>
            <w:pPr>
              <w:pStyle w:val="38"/>
              <w:jc w:val="both"/>
              <w:rPr>
                <w:rFonts w:hint="eastAsia" w:eastAsia="宋体"/>
                <w:lang w:val="en-US" w:eastAsia="zh-CN"/>
              </w:rPr>
            </w:pPr>
            <w:r>
              <w:rPr>
                <w:rFonts w:hint="eastAsia"/>
                <w:lang w:val="en-US" w:eastAsia="zh-CN"/>
              </w:rPr>
              <w:t>核实各类废水产生源强及处理措施，明确渗滤液收集池容积及场内初期雨水收集、排放措施，说明除臭、降尘系统用水全循环的可能性，并结合凤凰县垃圾填埋场建设情况、废水处理工艺及排放去向、与本项目的距离高差等，完善依托凤凰县垃圾填埋场渗滤液处理系统的可行性分析。</w:t>
            </w:r>
          </w:p>
        </w:tc>
        <w:tc>
          <w:tcPr>
            <w:tcW w:w="2133" w:type="pct"/>
            <w:vAlign w:val="center"/>
          </w:tcPr>
          <w:p>
            <w:pPr>
              <w:pStyle w:val="38"/>
              <w:jc w:val="both"/>
            </w:pPr>
            <w:r>
              <w:rPr>
                <w:rFonts w:hint="eastAsia"/>
              </w:rPr>
              <w:t>1、</w:t>
            </w:r>
            <w:r>
              <w:rPr>
                <w:rFonts w:hint="eastAsia"/>
                <w:lang w:eastAsia="zh-CN"/>
              </w:rPr>
              <w:t>已</w:t>
            </w:r>
            <w:r>
              <w:rPr>
                <w:rFonts w:hint="eastAsia"/>
                <w:lang w:val="en-US" w:eastAsia="zh-CN"/>
              </w:rPr>
              <w:t>核实各类废水产生源强及处理措施，明确渗滤液收集池容积及场内初期雨水收集、排放措施</w:t>
            </w:r>
            <w:r>
              <w:rPr>
                <w:rFonts w:hint="eastAsia"/>
              </w:rPr>
              <w:t>，</w:t>
            </w:r>
            <w:r>
              <w:rPr>
                <w:rFonts w:hint="eastAsia"/>
                <w:lang w:val="en-US" w:eastAsia="zh-CN"/>
              </w:rPr>
              <w:t>说明除臭、降尘系统用水全循环的可能性，</w:t>
            </w:r>
            <w:r>
              <w:rPr>
                <w:rFonts w:hint="eastAsia"/>
              </w:rPr>
              <w:t>详见P</w:t>
            </w:r>
            <w:r>
              <w:rPr>
                <w:rFonts w:hint="eastAsia"/>
                <w:lang w:val="en-US" w:eastAsia="zh-CN"/>
              </w:rPr>
              <w:t>17-19</w:t>
            </w:r>
            <w:r>
              <w:rPr>
                <w:rFonts w:hint="eastAsia"/>
              </w:rPr>
              <w:t>；</w:t>
            </w:r>
            <w:r>
              <w:rPr>
                <w:rFonts w:hint="eastAsia"/>
                <w:lang w:val="en-US" w:eastAsia="zh-CN"/>
              </w:rPr>
              <w:t>2</w:t>
            </w:r>
            <w:r>
              <w:rPr>
                <w:rFonts w:hint="eastAsia"/>
              </w:rPr>
              <w:t>、</w:t>
            </w:r>
            <w:r>
              <w:rPr>
                <w:rFonts w:hint="eastAsia"/>
                <w:lang w:val="en-US" w:eastAsia="zh-CN"/>
              </w:rPr>
              <w:t>完善依托凤凰县垃圾填埋场渗滤液处理系统的可行性分析</w:t>
            </w:r>
            <w:r>
              <w:rPr>
                <w:rFonts w:hint="eastAsia"/>
              </w:rPr>
              <w:t>，详见P</w:t>
            </w:r>
            <w:r>
              <w:rPr>
                <w:rFonts w:hint="eastAsia"/>
                <w:lang w:val="en-US" w:eastAsia="zh-CN"/>
              </w:rPr>
              <w:t>44-46</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vAlign w:val="center"/>
          </w:tcPr>
          <w:p>
            <w:pPr>
              <w:pStyle w:val="38"/>
            </w:pPr>
            <w:r>
              <w:rPr>
                <w:rFonts w:hint="eastAsia"/>
              </w:rPr>
              <w:t>7</w:t>
            </w:r>
          </w:p>
        </w:tc>
        <w:tc>
          <w:tcPr>
            <w:tcW w:w="2576" w:type="pct"/>
            <w:vAlign w:val="center"/>
          </w:tcPr>
          <w:p>
            <w:pPr>
              <w:pStyle w:val="38"/>
              <w:jc w:val="both"/>
              <w:rPr>
                <w:lang w:val="en-US"/>
              </w:rPr>
            </w:pPr>
            <w:r>
              <w:rPr>
                <w:rFonts w:hint="eastAsia"/>
                <w:lang w:val="en-US" w:eastAsia="zh-CN"/>
              </w:rPr>
              <w:t>完善噪声污染源强分析，强化降噪措施，补充营运期厂界达标分析</w:t>
            </w:r>
            <w:r>
              <w:rPr>
                <w:rFonts w:hint="eastAsia"/>
              </w:rPr>
              <w:t>。</w:t>
            </w:r>
          </w:p>
        </w:tc>
        <w:tc>
          <w:tcPr>
            <w:tcW w:w="2133" w:type="pct"/>
            <w:vAlign w:val="center"/>
          </w:tcPr>
          <w:p>
            <w:pPr>
              <w:pStyle w:val="38"/>
              <w:jc w:val="both"/>
            </w:pPr>
            <w:r>
              <w:rPr>
                <w:rFonts w:hint="eastAsia"/>
                <w:lang w:val="en-US"/>
              </w:rPr>
              <w:t>1、</w:t>
            </w:r>
            <w:r>
              <w:rPr>
                <w:rFonts w:hint="eastAsia"/>
              </w:rPr>
              <w:t>已</w:t>
            </w:r>
            <w:r>
              <w:rPr>
                <w:rFonts w:hint="eastAsia"/>
                <w:lang w:val="en-US" w:eastAsia="zh-CN"/>
              </w:rPr>
              <w:t>完善噪声污染源强分析，强化降噪措施，补充营运期厂界达标分析</w:t>
            </w:r>
            <w:r>
              <w:rPr>
                <w:rFonts w:hint="eastAsia"/>
              </w:rPr>
              <w:t>，详见P</w:t>
            </w:r>
            <w:r>
              <w:rPr>
                <w:rFonts w:hint="eastAsia"/>
                <w:lang w:val="en-US" w:eastAsia="zh-CN"/>
              </w:rPr>
              <w:t>47-48</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vAlign w:val="center"/>
          </w:tcPr>
          <w:p>
            <w:pPr>
              <w:pStyle w:val="38"/>
            </w:pPr>
            <w:r>
              <w:rPr>
                <w:rFonts w:hint="eastAsia"/>
              </w:rPr>
              <w:t>8</w:t>
            </w:r>
          </w:p>
        </w:tc>
        <w:tc>
          <w:tcPr>
            <w:tcW w:w="2576" w:type="pct"/>
            <w:vAlign w:val="center"/>
          </w:tcPr>
          <w:p>
            <w:pPr>
              <w:pStyle w:val="38"/>
              <w:jc w:val="both"/>
              <w:rPr>
                <w:lang w:val="en-US"/>
              </w:rPr>
            </w:pPr>
            <w:r>
              <w:rPr>
                <w:rFonts w:hint="eastAsia"/>
                <w:lang w:val="en-US" w:eastAsia="zh-CN"/>
              </w:rPr>
              <w:t>结合维修车间污染物产排情况，补充污染影响分析，完善污染防治措施</w:t>
            </w:r>
            <w:r>
              <w:rPr>
                <w:rFonts w:hint="eastAsia"/>
              </w:rPr>
              <w:t>。</w:t>
            </w:r>
          </w:p>
        </w:tc>
        <w:tc>
          <w:tcPr>
            <w:tcW w:w="2133" w:type="pct"/>
            <w:vAlign w:val="center"/>
          </w:tcPr>
          <w:p>
            <w:pPr>
              <w:pStyle w:val="38"/>
              <w:jc w:val="both"/>
              <w:rPr>
                <w:lang w:val="en-US"/>
              </w:rPr>
            </w:pPr>
            <w:r>
              <w:rPr>
                <w:rFonts w:hint="eastAsia"/>
                <w:lang w:val="en-US"/>
              </w:rPr>
              <w:t>1、</w:t>
            </w:r>
            <w:r>
              <w:rPr>
                <w:rFonts w:hint="eastAsia"/>
                <w:lang w:val="en-US" w:eastAsia="zh-CN"/>
              </w:rPr>
              <w:t>已完善固体废物污染防治措施</w:t>
            </w:r>
            <w:r>
              <w:rPr>
                <w:rFonts w:hint="eastAsia"/>
              </w:rPr>
              <w:t>，详见P</w:t>
            </w:r>
            <w:r>
              <w:rPr>
                <w:rFonts w:hint="eastAsia"/>
                <w:lang w:val="en-US" w:eastAsia="zh-CN"/>
              </w:rPr>
              <w:t>48-49。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vAlign w:val="center"/>
          </w:tcPr>
          <w:p>
            <w:pPr>
              <w:pStyle w:val="38"/>
              <w:rPr>
                <w:rFonts w:hint="eastAsia" w:eastAsia="宋体"/>
                <w:lang w:val="en-US" w:eastAsia="zh-CN"/>
              </w:rPr>
            </w:pPr>
            <w:r>
              <w:rPr>
                <w:rFonts w:hint="eastAsia"/>
                <w:lang w:val="en-US" w:eastAsia="zh-CN"/>
              </w:rPr>
              <w:t>9</w:t>
            </w:r>
          </w:p>
        </w:tc>
        <w:tc>
          <w:tcPr>
            <w:tcW w:w="2576" w:type="pct"/>
            <w:vAlign w:val="center"/>
          </w:tcPr>
          <w:p>
            <w:pPr>
              <w:pStyle w:val="38"/>
              <w:jc w:val="both"/>
              <w:rPr>
                <w:rFonts w:hint="eastAsia"/>
                <w:lang w:val="en-US" w:eastAsia="zh-CN"/>
              </w:rPr>
            </w:pPr>
            <w:r>
              <w:rPr>
                <w:rFonts w:hint="eastAsia"/>
                <w:lang w:val="en-US" w:eastAsia="zh-CN"/>
              </w:rPr>
              <w:t>根据废水源强，强化环境风险物质识别，完善收集池和管道运输渗漏等风险防范措施</w:t>
            </w:r>
          </w:p>
        </w:tc>
        <w:tc>
          <w:tcPr>
            <w:tcW w:w="2133" w:type="pct"/>
            <w:vAlign w:val="center"/>
          </w:tcPr>
          <w:p>
            <w:pPr>
              <w:pStyle w:val="38"/>
              <w:jc w:val="both"/>
              <w:rPr>
                <w:rFonts w:hint="eastAsia"/>
                <w:lang w:val="en-US"/>
              </w:rPr>
            </w:pPr>
            <w:r>
              <w:rPr>
                <w:rFonts w:hint="eastAsia"/>
                <w:lang w:val="en-US" w:eastAsia="zh-CN"/>
              </w:rPr>
              <w:t>1、已完善收集池和管道运输渗漏等风险防范措施，</w:t>
            </w:r>
            <w:r>
              <w:rPr>
                <w:rFonts w:hint="eastAsia"/>
              </w:rPr>
              <w:t>详见P</w:t>
            </w:r>
            <w:r>
              <w:rPr>
                <w:rFonts w:hint="eastAsia"/>
                <w:lang w:val="en-US" w:eastAsia="zh-CN"/>
              </w:rPr>
              <w:t>50-529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vAlign w:val="center"/>
          </w:tcPr>
          <w:p>
            <w:pPr>
              <w:pStyle w:val="38"/>
              <w:rPr>
                <w:rFonts w:hint="default"/>
                <w:lang w:val="en-US" w:eastAsia="zh-CN"/>
              </w:rPr>
            </w:pPr>
            <w:r>
              <w:rPr>
                <w:rFonts w:hint="eastAsia"/>
                <w:lang w:val="en-US" w:eastAsia="zh-CN"/>
              </w:rPr>
              <w:t>10</w:t>
            </w:r>
          </w:p>
        </w:tc>
        <w:tc>
          <w:tcPr>
            <w:tcW w:w="2576" w:type="pct"/>
            <w:vAlign w:val="center"/>
          </w:tcPr>
          <w:p>
            <w:pPr>
              <w:pStyle w:val="38"/>
              <w:jc w:val="both"/>
              <w:rPr>
                <w:rFonts w:hint="eastAsia"/>
                <w:lang w:val="en-US" w:eastAsia="zh-CN"/>
              </w:rPr>
            </w:pPr>
            <w:r>
              <w:rPr>
                <w:rFonts w:hint="eastAsia"/>
                <w:lang w:val="en-US" w:eastAsia="zh-CN"/>
              </w:rPr>
              <w:t>核实并完善环保投资、环境保护措施监督检查清单、自主验收等内容，补充排污口规范化建设要求</w:t>
            </w:r>
          </w:p>
        </w:tc>
        <w:tc>
          <w:tcPr>
            <w:tcW w:w="2133" w:type="pct"/>
            <w:vAlign w:val="center"/>
          </w:tcPr>
          <w:p>
            <w:pPr>
              <w:pStyle w:val="38"/>
              <w:jc w:val="both"/>
              <w:rPr>
                <w:rFonts w:hint="default"/>
                <w:lang w:val="en-US"/>
              </w:rPr>
            </w:pPr>
            <w:r>
              <w:rPr>
                <w:rFonts w:hint="eastAsia"/>
                <w:lang w:val="en-US" w:eastAsia="zh-CN"/>
              </w:rPr>
              <w:t>1、已核实并完善环保投资、环境保护措施监督检查清单、自主验收等内容，补充排污口规范化建设要求，</w:t>
            </w:r>
            <w:r>
              <w:rPr>
                <w:rFonts w:hint="eastAsia"/>
              </w:rPr>
              <w:t>详见P</w:t>
            </w:r>
            <w:r>
              <w:rPr>
                <w:rFonts w:hint="eastAsia"/>
                <w:lang w:val="en-US" w:eastAsia="zh-CN"/>
              </w:rPr>
              <w:t>53-56.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vAlign w:val="center"/>
          </w:tcPr>
          <w:p>
            <w:pPr>
              <w:pStyle w:val="38"/>
              <w:rPr>
                <w:rFonts w:hint="default"/>
                <w:lang w:val="en-US" w:eastAsia="zh-CN"/>
              </w:rPr>
            </w:pPr>
            <w:r>
              <w:rPr>
                <w:rFonts w:hint="eastAsia"/>
                <w:lang w:val="en-US" w:eastAsia="zh-CN"/>
              </w:rPr>
              <w:t>11</w:t>
            </w:r>
          </w:p>
        </w:tc>
        <w:tc>
          <w:tcPr>
            <w:tcW w:w="2576" w:type="pct"/>
            <w:vAlign w:val="center"/>
          </w:tcPr>
          <w:p>
            <w:pPr>
              <w:pStyle w:val="38"/>
              <w:jc w:val="both"/>
              <w:rPr>
                <w:rFonts w:hint="eastAsia"/>
                <w:lang w:val="en-US" w:eastAsia="zh-CN"/>
              </w:rPr>
            </w:pPr>
            <w:r>
              <w:rPr>
                <w:rFonts w:hint="eastAsia"/>
                <w:lang w:val="en-US" w:eastAsia="zh-CN"/>
              </w:rPr>
              <w:t>完善附图附件</w:t>
            </w:r>
          </w:p>
        </w:tc>
        <w:tc>
          <w:tcPr>
            <w:tcW w:w="2133" w:type="pct"/>
            <w:vAlign w:val="center"/>
          </w:tcPr>
          <w:p>
            <w:pPr>
              <w:pStyle w:val="38"/>
              <w:jc w:val="both"/>
              <w:rPr>
                <w:rFonts w:hint="eastAsia"/>
                <w:lang w:val="en-US"/>
              </w:rPr>
            </w:pPr>
            <w:r>
              <w:rPr>
                <w:rFonts w:hint="eastAsia"/>
                <w:lang w:val="en-US" w:eastAsia="zh-CN"/>
              </w:rPr>
              <w:t>已完善附图附件</w:t>
            </w:r>
          </w:p>
        </w:tc>
      </w:tr>
    </w:tbl>
    <w:p>
      <w:pPr>
        <w:pStyle w:val="15"/>
        <w:sectPr>
          <w:pgSz w:w="16840" w:h="11910" w:orient="landscape"/>
          <w:pgMar w:top="1340" w:right="1580" w:bottom="1320" w:left="1240" w:header="0" w:footer="1043" w:gutter="0"/>
          <w:cols w:space="720" w:num="1"/>
        </w:sectPr>
      </w:pPr>
    </w:p>
    <w:p>
      <w:pPr>
        <w:pStyle w:val="15"/>
        <w:sectPr>
          <w:pgSz w:w="11910" w:h="16840"/>
          <w:pgMar w:top="1580" w:right="1320" w:bottom="1240" w:left="1340" w:header="0" w:footer="1043" w:gutter="0"/>
          <w:cols w:space="720" w:num="1"/>
        </w:sectPr>
      </w:pPr>
    </w:p>
    <w:p>
      <w:pPr>
        <w:pStyle w:val="22"/>
        <w:tabs>
          <w:tab w:val="right" w:leader="dot" w:pos="9250"/>
        </w:tabs>
        <w:jc w:val="center"/>
        <w:rPr>
          <w:bCs/>
          <w:sz w:val="32"/>
          <w:szCs w:val="32"/>
        </w:rPr>
      </w:pPr>
      <w:r>
        <w:rPr>
          <w:rFonts w:hint="eastAsia"/>
          <w:bCs/>
          <w:sz w:val="32"/>
          <w:szCs w:val="32"/>
        </w:rPr>
        <w:t>目</w:t>
      </w:r>
      <w:r>
        <w:rPr>
          <w:rFonts w:hint="eastAsia"/>
          <w:bCs/>
          <w:sz w:val="32"/>
          <w:szCs w:val="32"/>
          <w:lang w:val="en-US"/>
        </w:rPr>
        <w:t xml:space="preserve">   </w:t>
      </w:r>
      <w:r>
        <w:rPr>
          <w:rFonts w:hint="eastAsia"/>
          <w:bCs/>
          <w:sz w:val="32"/>
          <w:szCs w:val="32"/>
        </w:rPr>
        <w:t>录</w:t>
      </w:r>
    </w:p>
    <w:p>
      <w:pPr>
        <w:pStyle w:val="22"/>
        <w:tabs>
          <w:tab w:val="right" w:leader="dot" w:pos="8310"/>
        </w:tabs>
        <w:spacing w:line="720" w:lineRule="auto"/>
      </w:pPr>
      <w:r>
        <w:fldChar w:fldCharType="begin"/>
      </w:r>
      <w:r>
        <w:instrText xml:space="preserve">TOC \o "1-1" \h \u </w:instrText>
      </w:r>
      <w:r>
        <w:fldChar w:fldCharType="separate"/>
      </w:r>
      <w:r>
        <w:fldChar w:fldCharType="begin"/>
      </w:r>
      <w:r>
        <w:instrText xml:space="preserve"> HYPERLINK \l "_Toc23276" </w:instrText>
      </w:r>
      <w:r>
        <w:fldChar w:fldCharType="separate"/>
      </w:r>
      <w:r>
        <w:t>一、建设项目基本情况</w:t>
      </w:r>
      <w:r>
        <w:tab/>
      </w:r>
      <w:r>
        <w:fldChar w:fldCharType="begin"/>
      </w:r>
      <w:r>
        <w:instrText xml:space="preserve"> PAGEREF _Toc23276 </w:instrText>
      </w:r>
      <w:r>
        <w:fldChar w:fldCharType="separate"/>
      </w:r>
      <w:r>
        <w:t>1</w:t>
      </w:r>
      <w:r>
        <w:fldChar w:fldCharType="end"/>
      </w:r>
      <w:r>
        <w:fldChar w:fldCharType="end"/>
      </w:r>
    </w:p>
    <w:p>
      <w:pPr>
        <w:pStyle w:val="22"/>
        <w:tabs>
          <w:tab w:val="right" w:leader="dot" w:pos="8310"/>
        </w:tabs>
        <w:spacing w:line="720" w:lineRule="auto"/>
      </w:pPr>
      <w:r>
        <w:fldChar w:fldCharType="begin"/>
      </w:r>
      <w:r>
        <w:instrText xml:space="preserve"> HYPERLINK \l "_Toc31206" </w:instrText>
      </w:r>
      <w:r>
        <w:fldChar w:fldCharType="separate"/>
      </w:r>
      <w:r>
        <w:t>二、建设项目工程分析</w:t>
      </w:r>
      <w:r>
        <w:tab/>
      </w:r>
      <w:r>
        <w:fldChar w:fldCharType="begin"/>
      </w:r>
      <w:r>
        <w:instrText xml:space="preserve"> PAGEREF _Toc31206 </w:instrText>
      </w:r>
      <w:r>
        <w:fldChar w:fldCharType="separate"/>
      </w:r>
      <w:r>
        <w:t>10</w:t>
      </w:r>
      <w:r>
        <w:fldChar w:fldCharType="end"/>
      </w:r>
      <w:r>
        <w:fldChar w:fldCharType="end"/>
      </w:r>
    </w:p>
    <w:p>
      <w:pPr>
        <w:pStyle w:val="22"/>
        <w:tabs>
          <w:tab w:val="right" w:leader="dot" w:pos="8310"/>
        </w:tabs>
        <w:spacing w:line="720" w:lineRule="auto"/>
      </w:pPr>
      <w:r>
        <w:fldChar w:fldCharType="begin"/>
      </w:r>
      <w:r>
        <w:instrText xml:space="preserve"> HYPERLINK \l "_Toc7236" </w:instrText>
      </w:r>
      <w:r>
        <w:fldChar w:fldCharType="separate"/>
      </w:r>
      <w:r>
        <w:t>三、区域环境质量现状、环境保护目标及评价标准</w:t>
      </w:r>
      <w:r>
        <w:tab/>
      </w:r>
      <w:r>
        <w:fldChar w:fldCharType="begin"/>
      </w:r>
      <w:r>
        <w:instrText xml:space="preserve"> PAGEREF _Toc7236 </w:instrText>
      </w:r>
      <w:r>
        <w:fldChar w:fldCharType="separate"/>
      </w:r>
      <w:r>
        <w:t>22</w:t>
      </w:r>
      <w:r>
        <w:fldChar w:fldCharType="end"/>
      </w:r>
      <w:r>
        <w:fldChar w:fldCharType="end"/>
      </w:r>
    </w:p>
    <w:p>
      <w:pPr>
        <w:pStyle w:val="22"/>
        <w:tabs>
          <w:tab w:val="right" w:leader="dot" w:pos="8310"/>
        </w:tabs>
        <w:spacing w:line="720" w:lineRule="auto"/>
      </w:pPr>
      <w:r>
        <w:fldChar w:fldCharType="begin"/>
      </w:r>
      <w:r>
        <w:instrText xml:space="preserve"> HYPERLINK \l "_Toc13748" </w:instrText>
      </w:r>
      <w:r>
        <w:fldChar w:fldCharType="separate"/>
      </w:r>
      <w:r>
        <w:t>四、主要环境影响和保护措施</w:t>
      </w:r>
      <w:r>
        <w:tab/>
      </w:r>
      <w:r>
        <w:fldChar w:fldCharType="begin"/>
      </w:r>
      <w:r>
        <w:instrText xml:space="preserve"> PAGEREF _Toc13748 </w:instrText>
      </w:r>
      <w:r>
        <w:fldChar w:fldCharType="separate"/>
      </w:r>
      <w:r>
        <w:t>30</w:t>
      </w:r>
      <w:r>
        <w:fldChar w:fldCharType="end"/>
      </w:r>
      <w:r>
        <w:fldChar w:fldCharType="end"/>
      </w:r>
    </w:p>
    <w:p>
      <w:pPr>
        <w:pStyle w:val="22"/>
        <w:tabs>
          <w:tab w:val="right" w:leader="dot" w:pos="8310"/>
        </w:tabs>
        <w:spacing w:line="720" w:lineRule="auto"/>
      </w:pPr>
      <w:r>
        <w:fldChar w:fldCharType="begin"/>
      </w:r>
      <w:r>
        <w:instrText xml:space="preserve"> HYPERLINK \l "_Toc11384" </w:instrText>
      </w:r>
      <w:r>
        <w:fldChar w:fldCharType="separate"/>
      </w:r>
      <w:r>
        <w:t>五、环境保护措施监督检查清单</w:t>
      </w:r>
      <w:r>
        <w:tab/>
      </w:r>
      <w:r>
        <w:fldChar w:fldCharType="begin"/>
      </w:r>
      <w:r>
        <w:instrText xml:space="preserve"> PAGEREF _Toc11384 </w:instrText>
      </w:r>
      <w:r>
        <w:fldChar w:fldCharType="separate"/>
      </w:r>
      <w:r>
        <w:t>50</w:t>
      </w:r>
      <w:r>
        <w:fldChar w:fldCharType="end"/>
      </w:r>
      <w:r>
        <w:fldChar w:fldCharType="end"/>
      </w:r>
    </w:p>
    <w:p>
      <w:pPr>
        <w:pStyle w:val="22"/>
        <w:tabs>
          <w:tab w:val="right" w:leader="dot" w:pos="8310"/>
        </w:tabs>
        <w:spacing w:line="720" w:lineRule="auto"/>
      </w:pPr>
      <w:r>
        <w:fldChar w:fldCharType="begin"/>
      </w:r>
      <w:r>
        <w:instrText xml:space="preserve"> HYPERLINK \l "_Toc28897" </w:instrText>
      </w:r>
      <w:r>
        <w:fldChar w:fldCharType="separate"/>
      </w:r>
      <w:r>
        <w:rPr>
          <w:rFonts w:hint="eastAsia"/>
        </w:rPr>
        <w:t xml:space="preserve">六、 </w:t>
      </w:r>
      <w:r>
        <w:t>结论</w:t>
      </w:r>
      <w:r>
        <w:tab/>
      </w:r>
      <w:r>
        <w:fldChar w:fldCharType="begin"/>
      </w:r>
      <w:r>
        <w:instrText xml:space="preserve"> PAGEREF _Toc28897 </w:instrText>
      </w:r>
      <w:r>
        <w:fldChar w:fldCharType="separate"/>
      </w:r>
      <w:r>
        <w:t>53</w:t>
      </w:r>
      <w:r>
        <w:fldChar w:fldCharType="end"/>
      </w:r>
      <w:r>
        <w:fldChar w:fldCharType="end"/>
      </w:r>
    </w:p>
    <w:p>
      <w:pPr>
        <w:pStyle w:val="30"/>
        <w:ind w:left="480" w:firstLine="480"/>
        <w:rPr>
          <w:lang w:val="zh-CN"/>
        </w:rPr>
        <w:sectPr>
          <w:headerReference r:id="rId9" w:type="default"/>
          <w:footerReference r:id="rId10" w:type="default"/>
          <w:footerReference r:id="rId11" w:type="even"/>
          <w:pgSz w:w="11910" w:h="16840"/>
          <w:pgMar w:top="1440" w:right="1800" w:bottom="1440" w:left="1800" w:header="0" w:footer="1043" w:gutter="0"/>
          <w:pgNumType w:fmt="upperRoman"/>
          <w:cols w:space="720" w:num="1"/>
        </w:sectPr>
      </w:pPr>
      <w:r>
        <w:rPr>
          <w:lang w:val="zh-CN"/>
        </w:rPr>
        <w:fldChar w:fldCharType="end"/>
      </w:r>
    </w:p>
    <w:p>
      <w:pPr>
        <w:keepNext w:val="0"/>
        <w:keepLines w:val="0"/>
        <w:pageBreakBefore w:val="0"/>
        <w:widowControl w:val="0"/>
        <w:kinsoku/>
        <w:wordWrap w:val="0"/>
        <w:overflowPunct/>
        <w:topLinePunct w:val="0"/>
        <w:autoSpaceDE w:val="0"/>
        <w:autoSpaceDN w:val="0"/>
        <w:bidi w:val="0"/>
        <w:adjustRightInd/>
        <w:snapToGrid/>
        <w:spacing w:line="400" w:lineRule="exact"/>
        <w:ind w:firstLine="482"/>
        <w:textAlignment w:val="auto"/>
        <w:rPr>
          <w:b/>
          <w:bCs/>
        </w:rPr>
      </w:pPr>
      <w:bookmarkStart w:id="0" w:name="_Toc31061"/>
      <w:bookmarkStart w:id="1" w:name="_Toc14905"/>
      <w:r>
        <w:rPr>
          <w:b/>
          <w:bCs/>
        </w:rPr>
        <w:t>附图、附件：</w:t>
      </w:r>
      <w:bookmarkEnd w:id="0"/>
    </w:p>
    <w:p>
      <w:pPr>
        <w:keepNext w:val="0"/>
        <w:keepLines w:val="0"/>
        <w:pageBreakBefore w:val="0"/>
        <w:widowControl w:val="0"/>
        <w:kinsoku/>
        <w:wordWrap w:val="0"/>
        <w:overflowPunct/>
        <w:topLinePunct w:val="0"/>
        <w:autoSpaceDE w:val="0"/>
        <w:autoSpaceDN w:val="0"/>
        <w:bidi w:val="0"/>
        <w:adjustRightInd/>
        <w:snapToGrid/>
        <w:spacing w:line="400" w:lineRule="exact"/>
        <w:ind w:firstLine="480"/>
        <w:textAlignment w:val="auto"/>
      </w:pPr>
      <w:r>
        <w:t>附图：</w:t>
      </w:r>
    </w:p>
    <w:p>
      <w:pPr>
        <w:keepNext w:val="0"/>
        <w:keepLines w:val="0"/>
        <w:pageBreakBefore w:val="0"/>
        <w:widowControl w:val="0"/>
        <w:kinsoku/>
        <w:wordWrap w:val="0"/>
        <w:overflowPunct/>
        <w:topLinePunct w:val="0"/>
        <w:autoSpaceDE w:val="0"/>
        <w:autoSpaceDN w:val="0"/>
        <w:bidi w:val="0"/>
        <w:adjustRightInd/>
        <w:snapToGrid/>
        <w:spacing w:line="400" w:lineRule="exact"/>
        <w:ind w:firstLine="480"/>
        <w:textAlignment w:val="auto"/>
      </w:pPr>
      <w:r>
        <w:rPr>
          <w:rFonts w:hint="eastAsia"/>
          <w:lang w:eastAsia="zh-CN"/>
        </w:rPr>
        <w:t>附</w:t>
      </w:r>
      <w:r>
        <w:t>图1：项目地理位置图</w:t>
      </w:r>
    </w:p>
    <w:p>
      <w:pPr>
        <w:keepNext w:val="0"/>
        <w:keepLines w:val="0"/>
        <w:pageBreakBefore w:val="0"/>
        <w:widowControl w:val="0"/>
        <w:kinsoku/>
        <w:wordWrap w:val="0"/>
        <w:overflowPunct/>
        <w:topLinePunct w:val="0"/>
        <w:autoSpaceDE w:val="0"/>
        <w:autoSpaceDN w:val="0"/>
        <w:bidi w:val="0"/>
        <w:adjustRightInd/>
        <w:snapToGrid/>
        <w:spacing w:line="400" w:lineRule="exact"/>
        <w:ind w:firstLine="480"/>
        <w:textAlignment w:val="auto"/>
        <w:rPr>
          <w:rFonts w:hint="default" w:ascii="Times New Roman" w:hAnsi="Times New Roman" w:eastAsia="宋体" w:cs="宋体"/>
          <w:u w:val="none"/>
          <w:lang w:val="en-US" w:eastAsia="zh-CN"/>
        </w:rPr>
      </w:pPr>
      <w:r>
        <w:rPr>
          <w:rFonts w:hint="eastAsia" w:ascii="Times New Roman" w:hAnsi="Times New Roman" w:eastAsia="宋体" w:cs="宋体"/>
          <w:u w:val="none"/>
          <w:lang w:val="en-US" w:eastAsia="zh-CN"/>
        </w:rPr>
        <w:t>附图2：项目敏感目标图</w:t>
      </w:r>
    </w:p>
    <w:p>
      <w:pPr>
        <w:keepNext w:val="0"/>
        <w:keepLines w:val="0"/>
        <w:pageBreakBefore w:val="0"/>
        <w:widowControl w:val="0"/>
        <w:kinsoku/>
        <w:wordWrap w:val="0"/>
        <w:overflowPunct/>
        <w:topLinePunct w:val="0"/>
        <w:autoSpaceDE w:val="0"/>
        <w:autoSpaceDN w:val="0"/>
        <w:bidi w:val="0"/>
        <w:adjustRightInd/>
        <w:snapToGrid/>
        <w:spacing w:line="400" w:lineRule="exact"/>
        <w:ind w:firstLine="480"/>
        <w:textAlignment w:val="auto"/>
        <w:rPr>
          <w:u w:val="none"/>
          <w:lang w:val="en-US"/>
        </w:rPr>
      </w:pPr>
      <w:r>
        <w:rPr>
          <w:u w:val="none"/>
          <w:lang w:val="en-US"/>
        </w:rPr>
        <w:t>附图</w:t>
      </w:r>
      <w:r>
        <w:rPr>
          <w:rFonts w:hint="eastAsia"/>
          <w:u w:val="none"/>
          <w:lang w:val="en-US" w:eastAsia="zh-CN"/>
        </w:rPr>
        <w:t>3</w:t>
      </w:r>
      <w:r>
        <w:rPr>
          <w:u w:val="none"/>
          <w:lang w:val="en-US"/>
        </w:rPr>
        <w:t>：</w:t>
      </w:r>
      <w:r>
        <w:rPr>
          <w:u w:val="none"/>
        </w:rPr>
        <w:t>项目引用监测点位图</w:t>
      </w:r>
    </w:p>
    <w:p>
      <w:pPr>
        <w:keepNext w:val="0"/>
        <w:keepLines w:val="0"/>
        <w:pageBreakBefore w:val="0"/>
        <w:widowControl w:val="0"/>
        <w:kinsoku/>
        <w:wordWrap w:val="0"/>
        <w:overflowPunct/>
        <w:topLinePunct w:val="0"/>
        <w:autoSpaceDE w:val="0"/>
        <w:autoSpaceDN w:val="0"/>
        <w:bidi w:val="0"/>
        <w:adjustRightInd/>
        <w:snapToGrid/>
        <w:spacing w:line="400" w:lineRule="exact"/>
        <w:ind w:firstLine="480"/>
        <w:textAlignment w:val="auto"/>
        <w:rPr>
          <w:rFonts w:ascii="Times New Roman" w:hAnsi="Times New Roman"/>
          <w:u w:val="none"/>
          <w:lang w:val="en-US"/>
        </w:rPr>
      </w:pPr>
      <w:r>
        <w:rPr>
          <w:rFonts w:ascii="Times New Roman" w:hAnsi="Times New Roman"/>
          <w:u w:val="none"/>
          <w:lang w:val="en-US"/>
        </w:rPr>
        <w:t>附图</w:t>
      </w:r>
      <w:r>
        <w:rPr>
          <w:rFonts w:hint="eastAsia"/>
          <w:u w:val="none"/>
          <w:lang w:val="en-US" w:eastAsia="zh-CN"/>
        </w:rPr>
        <w:t>4</w:t>
      </w:r>
      <w:r>
        <w:rPr>
          <w:rFonts w:ascii="Times New Roman" w:hAnsi="Times New Roman"/>
          <w:u w:val="none"/>
          <w:lang w:val="en-US"/>
        </w:rPr>
        <w:t>：水系图</w:t>
      </w:r>
    </w:p>
    <w:p>
      <w:pPr>
        <w:keepNext w:val="0"/>
        <w:keepLines w:val="0"/>
        <w:pageBreakBefore w:val="0"/>
        <w:widowControl w:val="0"/>
        <w:kinsoku/>
        <w:wordWrap w:val="0"/>
        <w:overflowPunct/>
        <w:topLinePunct w:val="0"/>
        <w:autoSpaceDE w:val="0"/>
        <w:autoSpaceDN w:val="0"/>
        <w:bidi w:val="0"/>
        <w:adjustRightInd/>
        <w:snapToGrid/>
        <w:spacing w:line="400" w:lineRule="exact"/>
        <w:ind w:firstLine="480"/>
        <w:textAlignment w:val="auto"/>
        <w:rPr>
          <w:rFonts w:ascii="Times New Roman" w:hAnsi="Times New Roman"/>
          <w:u w:val="none"/>
          <w:lang w:val="en-US"/>
        </w:rPr>
      </w:pPr>
      <w:r>
        <w:rPr>
          <w:rFonts w:ascii="Times New Roman" w:hAnsi="Times New Roman"/>
          <w:u w:val="none"/>
          <w:lang w:val="en-US"/>
        </w:rPr>
        <w:t>附图</w:t>
      </w:r>
      <w:r>
        <w:rPr>
          <w:rFonts w:hint="eastAsia"/>
          <w:u w:val="none"/>
          <w:lang w:val="en-US" w:eastAsia="zh-CN"/>
        </w:rPr>
        <w:t>5</w:t>
      </w:r>
      <w:r>
        <w:rPr>
          <w:rFonts w:ascii="Times New Roman" w:hAnsi="Times New Roman"/>
          <w:u w:val="none"/>
          <w:lang w:val="en-US"/>
        </w:rPr>
        <w:t>：项目现场照片</w:t>
      </w:r>
    </w:p>
    <w:p>
      <w:pPr>
        <w:keepNext w:val="0"/>
        <w:keepLines w:val="0"/>
        <w:pageBreakBefore w:val="0"/>
        <w:widowControl w:val="0"/>
        <w:kinsoku/>
        <w:wordWrap w:val="0"/>
        <w:overflowPunct/>
        <w:topLinePunct w:val="0"/>
        <w:autoSpaceDE w:val="0"/>
        <w:autoSpaceDN w:val="0"/>
        <w:bidi w:val="0"/>
        <w:adjustRightInd/>
        <w:snapToGrid/>
        <w:spacing w:line="400" w:lineRule="exact"/>
        <w:ind w:firstLine="480"/>
        <w:textAlignment w:val="auto"/>
        <w:rPr>
          <w:rFonts w:ascii="Times New Roman" w:hAnsi="Times New Roman"/>
          <w:u w:val="none"/>
          <w:lang w:val="en-US"/>
        </w:rPr>
      </w:pPr>
      <w:r>
        <w:rPr>
          <w:rFonts w:ascii="Times New Roman" w:hAnsi="Times New Roman"/>
          <w:u w:val="none"/>
          <w:lang w:val="en-US"/>
        </w:rPr>
        <w:t>附图</w:t>
      </w:r>
      <w:r>
        <w:rPr>
          <w:rFonts w:hint="eastAsia"/>
          <w:u w:val="none"/>
          <w:lang w:val="en-US" w:eastAsia="zh-CN"/>
        </w:rPr>
        <w:t>6</w:t>
      </w:r>
      <w:r>
        <w:rPr>
          <w:rFonts w:ascii="Times New Roman" w:hAnsi="Times New Roman"/>
          <w:u w:val="none"/>
          <w:lang w:val="en-US"/>
        </w:rPr>
        <w:t>：项目平面布置图</w:t>
      </w:r>
    </w:p>
    <w:p>
      <w:pPr>
        <w:keepNext w:val="0"/>
        <w:keepLines w:val="0"/>
        <w:pageBreakBefore w:val="0"/>
        <w:widowControl w:val="0"/>
        <w:kinsoku/>
        <w:wordWrap w:val="0"/>
        <w:overflowPunct/>
        <w:topLinePunct w:val="0"/>
        <w:autoSpaceDE w:val="0"/>
        <w:autoSpaceDN w:val="0"/>
        <w:bidi w:val="0"/>
        <w:adjustRightInd/>
        <w:snapToGrid/>
        <w:spacing w:line="400" w:lineRule="exact"/>
        <w:ind w:firstLine="480"/>
        <w:textAlignment w:val="auto"/>
        <w:rPr>
          <w:rFonts w:hint="eastAsia" w:ascii="Times New Roman" w:hAnsi="Times New Roman"/>
          <w:u w:val="none"/>
          <w:lang w:val="en-US" w:eastAsia="zh-CN"/>
        </w:rPr>
      </w:pPr>
      <w:r>
        <w:rPr>
          <w:rFonts w:hint="eastAsia" w:ascii="Times New Roman" w:hAnsi="Times New Roman"/>
          <w:u w:val="none"/>
          <w:lang w:val="en-US" w:eastAsia="zh-CN"/>
        </w:rPr>
        <w:t>附图</w:t>
      </w:r>
      <w:r>
        <w:rPr>
          <w:rFonts w:hint="eastAsia"/>
          <w:u w:val="none"/>
          <w:lang w:val="en-US" w:eastAsia="zh-CN"/>
        </w:rPr>
        <w:t>7</w:t>
      </w:r>
      <w:r>
        <w:rPr>
          <w:rFonts w:hint="eastAsia" w:ascii="Times New Roman" w:hAnsi="Times New Roman"/>
          <w:u w:val="none"/>
          <w:lang w:val="en-US" w:eastAsia="zh-CN"/>
        </w:rPr>
        <w:t>：项目分区防渗图</w:t>
      </w:r>
    </w:p>
    <w:p>
      <w:pPr>
        <w:keepNext w:val="0"/>
        <w:keepLines w:val="0"/>
        <w:pageBreakBefore w:val="0"/>
        <w:widowControl w:val="0"/>
        <w:kinsoku/>
        <w:wordWrap w:val="0"/>
        <w:overflowPunct/>
        <w:topLinePunct w:val="0"/>
        <w:autoSpaceDE w:val="0"/>
        <w:autoSpaceDN w:val="0"/>
        <w:bidi w:val="0"/>
        <w:adjustRightInd/>
        <w:snapToGrid/>
        <w:spacing w:line="400" w:lineRule="exact"/>
        <w:ind w:firstLine="480"/>
        <w:textAlignment w:val="auto"/>
        <w:rPr>
          <w:rFonts w:hint="eastAsia" w:ascii="Times New Roman" w:hAnsi="Times New Roman"/>
          <w:u w:val="none"/>
          <w:lang w:val="en-US" w:eastAsia="zh-CN"/>
        </w:rPr>
      </w:pPr>
      <w:r>
        <w:rPr>
          <w:rFonts w:hint="eastAsia" w:ascii="Times New Roman" w:hAnsi="Times New Roman"/>
          <w:u w:val="none"/>
          <w:lang w:val="zh-CN" w:eastAsia="zh-CN"/>
        </w:rPr>
        <w:t>附图</w:t>
      </w:r>
      <w:r>
        <w:rPr>
          <w:rFonts w:hint="eastAsia"/>
          <w:u w:val="none"/>
          <w:lang w:val="en-US" w:eastAsia="zh-CN"/>
        </w:rPr>
        <w:t>8</w:t>
      </w:r>
      <w:r>
        <w:rPr>
          <w:rFonts w:hint="eastAsia" w:ascii="Times New Roman" w:hAnsi="Times New Roman"/>
          <w:u w:val="none"/>
          <w:lang w:val="en-US" w:eastAsia="zh-CN"/>
        </w:rPr>
        <w:t>：垃圾收集路线图</w:t>
      </w:r>
    </w:p>
    <w:p>
      <w:pPr>
        <w:keepNext w:val="0"/>
        <w:keepLines w:val="0"/>
        <w:pageBreakBefore w:val="0"/>
        <w:widowControl w:val="0"/>
        <w:kinsoku/>
        <w:wordWrap w:val="0"/>
        <w:overflowPunct/>
        <w:topLinePunct w:val="0"/>
        <w:autoSpaceDE w:val="0"/>
        <w:autoSpaceDN w:val="0"/>
        <w:bidi w:val="0"/>
        <w:adjustRightInd/>
        <w:snapToGrid/>
        <w:spacing w:line="400" w:lineRule="exact"/>
        <w:ind w:firstLine="480"/>
        <w:textAlignment w:val="auto"/>
        <w:rPr>
          <w:rFonts w:hint="default" w:ascii="Times New Roman" w:hAnsi="Times New Roman"/>
          <w:u w:val="none"/>
          <w:lang w:val="en-US" w:eastAsia="zh-CN"/>
        </w:rPr>
      </w:pPr>
      <w:r>
        <w:rPr>
          <w:rFonts w:hint="eastAsia" w:ascii="Times New Roman" w:hAnsi="Times New Roman"/>
          <w:u w:val="none"/>
          <w:lang w:val="en-US" w:eastAsia="zh-CN"/>
        </w:rPr>
        <w:t>附图</w:t>
      </w:r>
      <w:r>
        <w:rPr>
          <w:rFonts w:hint="eastAsia"/>
          <w:u w:val="none"/>
          <w:lang w:val="en-US" w:eastAsia="zh-CN"/>
        </w:rPr>
        <w:t>9</w:t>
      </w:r>
      <w:r>
        <w:rPr>
          <w:rFonts w:hint="eastAsia" w:ascii="Times New Roman" w:hAnsi="Times New Roman"/>
          <w:u w:val="none"/>
          <w:lang w:val="en-US" w:eastAsia="zh-CN"/>
        </w:rPr>
        <w:t>：垃圾输送路线图</w:t>
      </w:r>
    </w:p>
    <w:p>
      <w:pPr>
        <w:keepNext w:val="0"/>
        <w:keepLines w:val="0"/>
        <w:pageBreakBefore w:val="0"/>
        <w:widowControl w:val="0"/>
        <w:kinsoku/>
        <w:wordWrap w:val="0"/>
        <w:overflowPunct/>
        <w:topLinePunct w:val="0"/>
        <w:autoSpaceDE w:val="0"/>
        <w:autoSpaceDN w:val="0"/>
        <w:bidi w:val="0"/>
        <w:adjustRightInd/>
        <w:snapToGrid/>
        <w:spacing w:line="400" w:lineRule="exact"/>
        <w:ind w:firstLine="480"/>
        <w:textAlignment w:val="auto"/>
        <w:rPr>
          <w:rFonts w:cs="Times New Roman"/>
          <w:u w:val="none"/>
          <w:lang w:val="en-US"/>
        </w:rPr>
      </w:pPr>
    </w:p>
    <w:p>
      <w:pPr>
        <w:keepNext w:val="0"/>
        <w:keepLines w:val="0"/>
        <w:pageBreakBefore w:val="0"/>
        <w:widowControl w:val="0"/>
        <w:kinsoku/>
        <w:wordWrap w:val="0"/>
        <w:overflowPunct/>
        <w:topLinePunct w:val="0"/>
        <w:autoSpaceDE w:val="0"/>
        <w:autoSpaceDN w:val="0"/>
        <w:bidi w:val="0"/>
        <w:adjustRightInd/>
        <w:snapToGrid/>
        <w:spacing w:line="400" w:lineRule="exact"/>
        <w:ind w:firstLine="480"/>
        <w:textAlignment w:val="auto"/>
        <w:rPr>
          <w:u w:val="none"/>
        </w:rPr>
      </w:pPr>
      <w:bookmarkStart w:id="2" w:name="_Toc13961"/>
      <w:r>
        <w:rPr>
          <w:u w:val="none"/>
        </w:rPr>
        <w:t>附件：</w:t>
      </w:r>
      <w:bookmarkEnd w:id="2"/>
    </w:p>
    <w:p>
      <w:pPr>
        <w:keepNext w:val="0"/>
        <w:keepLines w:val="0"/>
        <w:pageBreakBefore w:val="0"/>
        <w:widowControl w:val="0"/>
        <w:kinsoku/>
        <w:wordWrap w:val="0"/>
        <w:overflowPunct/>
        <w:topLinePunct w:val="0"/>
        <w:autoSpaceDE w:val="0"/>
        <w:autoSpaceDN w:val="0"/>
        <w:bidi w:val="0"/>
        <w:adjustRightInd/>
        <w:snapToGrid/>
        <w:spacing w:line="400" w:lineRule="exact"/>
        <w:ind w:firstLine="480"/>
        <w:textAlignment w:val="auto"/>
        <w:rPr>
          <w:u w:val="none"/>
        </w:rPr>
      </w:pPr>
      <w:bookmarkStart w:id="3" w:name="_Toc3012"/>
      <w:r>
        <w:rPr>
          <w:u w:val="none"/>
        </w:rPr>
        <w:t>附件1：委托书</w:t>
      </w:r>
      <w:bookmarkEnd w:id="3"/>
    </w:p>
    <w:p>
      <w:pPr>
        <w:keepNext w:val="0"/>
        <w:keepLines w:val="0"/>
        <w:pageBreakBefore w:val="0"/>
        <w:widowControl w:val="0"/>
        <w:kinsoku/>
        <w:wordWrap w:val="0"/>
        <w:overflowPunct/>
        <w:topLinePunct w:val="0"/>
        <w:autoSpaceDE w:val="0"/>
        <w:autoSpaceDN w:val="0"/>
        <w:bidi w:val="0"/>
        <w:adjustRightInd/>
        <w:snapToGrid/>
        <w:spacing w:line="400" w:lineRule="exact"/>
        <w:ind w:firstLine="480"/>
        <w:textAlignment w:val="auto"/>
        <w:rPr>
          <w:rFonts w:hint="eastAsia" w:ascii="Times New Roman" w:hAnsi="Times New Roman"/>
          <w:u w:val="none"/>
          <w:lang w:eastAsia="zh-CN"/>
        </w:rPr>
      </w:pPr>
      <w:bookmarkStart w:id="4" w:name="_Toc22577"/>
      <w:r>
        <w:rPr>
          <w:u w:val="none"/>
        </w:rPr>
        <w:t>附件2：</w:t>
      </w:r>
      <w:bookmarkEnd w:id="4"/>
      <w:r>
        <w:rPr>
          <w:rFonts w:hint="eastAsia" w:ascii="Times New Roman" w:hAnsi="Times New Roman"/>
          <w:u w:val="none"/>
          <w:lang w:eastAsia="zh-CN"/>
        </w:rPr>
        <w:t>组织机构代码证书</w:t>
      </w:r>
    </w:p>
    <w:p>
      <w:pPr>
        <w:keepNext w:val="0"/>
        <w:keepLines w:val="0"/>
        <w:pageBreakBefore w:val="0"/>
        <w:widowControl w:val="0"/>
        <w:kinsoku/>
        <w:wordWrap w:val="0"/>
        <w:overflowPunct/>
        <w:topLinePunct w:val="0"/>
        <w:autoSpaceDE w:val="0"/>
        <w:autoSpaceDN w:val="0"/>
        <w:bidi w:val="0"/>
        <w:adjustRightInd/>
        <w:snapToGrid/>
        <w:spacing w:line="400" w:lineRule="exact"/>
        <w:ind w:firstLine="480"/>
        <w:textAlignment w:val="auto"/>
        <w:rPr>
          <w:rFonts w:hint="eastAsia" w:ascii="Times New Roman" w:hAnsi="Times New Roman"/>
          <w:u w:val="none"/>
          <w:lang w:eastAsia="zh-CN"/>
        </w:rPr>
      </w:pPr>
      <w:bookmarkStart w:id="5" w:name="_Toc3710"/>
      <w:r>
        <w:rPr>
          <w:rFonts w:ascii="Times New Roman" w:hAnsi="Times New Roman"/>
          <w:u w:val="none"/>
        </w:rPr>
        <w:t>附件3：项目</w:t>
      </w:r>
      <w:bookmarkEnd w:id="5"/>
      <w:r>
        <w:rPr>
          <w:rFonts w:hint="eastAsia" w:ascii="Times New Roman" w:hAnsi="Times New Roman"/>
          <w:u w:val="none"/>
          <w:lang w:eastAsia="zh-CN"/>
        </w:rPr>
        <w:t>建议书批复</w:t>
      </w:r>
    </w:p>
    <w:p>
      <w:pPr>
        <w:keepNext w:val="0"/>
        <w:keepLines w:val="0"/>
        <w:pageBreakBefore w:val="0"/>
        <w:widowControl w:val="0"/>
        <w:kinsoku/>
        <w:wordWrap w:val="0"/>
        <w:overflowPunct/>
        <w:topLinePunct w:val="0"/>
        <w:autoSpaceDE w:val="0"/>
        <w:autoSpaceDN w:val="0"/>
        <w:bidi w:val="0"/>
        <w:adjustRightInd/>
        <w:snapToGrid/>
        <w:spacing w:line="400" w:lineRule="exact"/>
        <w:ind w:firstLine="480"/>
        <w:textAlignment w:val="auto"/>
        <w:rPr>
          <w:rFonts w:hint="default" w:ascii="Times New Roman" w:hAnsi="Times New Roman" w:eastAsia="宋体" w:cs="宋体"/>
          <w:u w:val="none"/>
          <w:lang w:val="en-US" w:eastAsia="zh-CN"/>
        </w:rPr>
      </w:pPr>
      <w:r>
        <w:rPr>
          <w:rFonts w:hint="eastAsia" w:ascii="Times New Roman" w:hAnsi="Times New Roman"/>
          <w:u w:val="none"/>
          <w:lang w:eastAsia="zh-CN"/>
        </w:rPr>
        <w:t>附件</w:t>
      </w:r>
      <w:r>
        <w:rPr>
          <w:rFonts w:hint="eastAsia" w:ascii="Times New Roman" w:hAnsi="Times New Roman" w:eastAsia="宋体" w:cs="宋体"/>
          <w:u w:val="none"/>
          <w:lang w:val="en-US" w:eastAsia="zh-CN"/>
        </w:rPr>
        <w:t>4：建设项目用地预审与选址意见书</w:t>
      </w:r>
    </w:p>
    <w:p>
      <w:pPr>
        <w:keepNext w:val="0"/>
        <w:keepLines w:val="0"/>
        <w:pageBreakBefore w:val="0"/>
        <w:widowControl w:val="0"/>
        <w:kinsoku/>
        <w:wordWrap w:val="0"/>
        <w:overflowPunct/>
        <w:topLinePunct w:val="0"/>
        <w:autoSpaceDE w:val="0"/>
        <w:autoSpaceDN w:val="0"/>
        <w:bidi w:val="0"/>
        <w:adjustRightInd/>
        <w:snapToGrid/>
        <w:spacing w:line="400" w:lineRule="exact"/>
        <w:ind w:firstLine="480"/>
        <w:textAlignment w:val="auto"/>
        <w:rPr>
          <w:rFonts w:hint="eastAsia" w:ascii="Times New Roman" w:hAnsi="Times New Roman" w:eastAsia="宋体" w:cs="宋体"/>
          <w:u w:val="none"/>
          <w:lang w:val="en-US" w:eastAsia="zh-CN"/>
        </w:rPr>
      </w:pPr>
      <w:r>
        <w:rPr>
          <w:rFonts w:hint="eastAsia" w:ascii="Times New Roman" w:hAnsi="Times New Roman" w:eastAsia="宋体" w:cs="宋体"/>
          <w:u w:val="none"/>
          <w:lang w:val="en-US" w:eastAsia="zh-CN"/>
        </w:rPr>
        <w:t>附件5：项目可行性研究批复</w:t>
      </w:r>
    </w:p>
    <w:p>
      <w:pPr>
        <w:keepNext w:val="0"/>
        <w:keepLines w:val="0"/>
        <w:pageBreakBefore w:val="0"/>
        <w:widowControl w:val="0"/>
        <w:kinsoku/>
        <w:wordWrap w:val="0"/>
        <w:overflowPunct/>
        <w:topLinePunct w:val="0"/>
        <w:autoSpaceDE w:val="0"/>
        <w:autoSpaceDN w:val="0"/>
        <w:bidi w:val="0"/>
        <w:adjustRightInd/>
        <w:snapToGrid/>
        <w:spacing w:line="400" w:lineRule="exact"/>
        <w:ind w:firstLine="480"/>
        <w:textAlignment w:val="auto"/>
        <w:rPr>
          <w:rFonts w:hint="eastAsia" w:ascii="Times New Roman" w:hAnsi="Times New Roman" w:eastAsia="宋体" w:cs="宋体"/>
          <w:u w:val="none"/>
          <w:lang w:val="en-US" w:eastAsia="zh-CN"/>
        </w:rPr>
      </w:pPr>
      <w:bookmarkStart w:id="6" w:name="_Toc10262"/>
      <w:r>
        <w:rPr>
          <w:rFonts w:hint="eastAsia" w:ascii="Times New Roman" w:hAnsi="Times New Roman" w:eastAsia="宋体" w:cs="宋体"/>
          <w:u w:val="none"/>
          <w:lang w:val="en-US" w:eastAsia="zh-CN"/>
        </w:rPr>
        <w:t>附件6：引用监测报告及质保单</w:t>
      </w:r>
    </w:p>
    <w:p>
      <w:pPr>
        <w:keepNext w:val="0"/>
        <w:keepLines w:val="0"/>
        <w:pageBreakBefore w:val="0"/>
        <w:widowControl w:val="0"/>
        <w:kinsoku/>
        <w:wordWrap w:val="0"/>
        <w:overflowPunct/>
        <w:topLinePunct w:val="0"/>
        <w:autoSpaceDE w:val="0"/>
        <w:autoSpaceDN w:val="0"/>
        <w:bidi w:val="0"/>
        <w:adjustRightInd/>
        <w:snapToGrid/>
        <w:spacing w:line="400" w:lineRule="exact"/>
        <w:ind w:firstLine="480"/>
        <w:textAlignment w:val="auto"/>
        <w:rPr>
          <w:rFonts w:hint="default" w:ascii="Times New Roman" w:hAnsi="Times New Roman" w:eastAsia="宋体" w:cs="宋体"/>
          <w:u w:val="none"/>
          <w:lang w:val="en-US" w:eastAsia="zh-CN"/>
        </w:rPr>
      </w:pPr>
      <w:r>
        <w:rPr>
          <w:rFonts w:hint="eastAsia" w:ascii="Times New Roman" w:hAnsi="Times New Roman" w:eastAsia="宋体" w:cs="宋体"/>
          <w:u w:val="none"/>
          <w:lang w:val="en-US" w:eastAsia="zh-CN"/>
        </w:rPr>
        <w:t>附件7：专家审查意见</w:t>
      </w:r>
    </w:p>
    <w:bookmarkEnd w:id="6"/>
    <w:p>
      <w:pPr>
        <w:keepNext w:val="0"/>
        <w:keepLines w:val="0"/>
        <w:pageBreakBefore w:val="0"/>
        <w:widowControl w:val="0"/>
        <w:kinsoku/>
        <w:wordWrap w:val="0"/>
        <w:overflowPunct/>
        <w:topLinePunct w:val="0"/>
        <w:autoSpaceDE w:val="0"/>
        <w:autoSpaceDN w:val="0"/>
        <w:bidi w:val="0"/>
        <w:adjustRightInd/>
        <w:snapToGrid/>
        <w:spacing w:line="400" w:lineRule="exact"/>
        <w:ind w:firstLine="480"/>
        <w:textAlignment w:val="auto"/>
        <w:rPr>
          <w:u w:val="single"/>
          <w:lang w:val="en-US"/>
        </w:rPr>
        <w:sectPr>
          <w:footerReference r:id="rId12" w:type="default"/>
          <w:footerReference r:id="rId13" w:type="even"/>
          <w:pgSz w:w="11910" w:h="16840"/>
          <w:pgMar w:top="1580" w:right="1320" w:bottom="1240" w:left="1340" w:header="0" w:footer="1043" w:gutter="0"/>
          <w:pgNumType w:start="1"/>
          <w:cols w:space="720" w:num="1"/>
        </w:sectPr>
      </w:pPr>
    </w:p>
    <w:p>
      <w:pPr>
        <w:pStyle w:val="7"/>
      </w:pPr>
      <w:bookmarkStart w:id="7" w:name="_Toc23276"/>
      <w:r>
        <w:t>一、建设项目基本情况</w:t>
      </w:r>
      <w:bookmarkEnd w:id="1"/>
      <w:bookmarkEnd w:id="7"/>
    </w:p>
    <w:tbl>
      <w:tblPr>
        <w:tblStyle w:val="31"/>
        <w:tblW w:w="907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5"/>
        <w:gridCol w:w="1413"/>
        <w:gridCol w:w="1322"/>
        <w:gridCol w:w="819"/>
        <w:gridCol w:w="1976"/>
        <w:gridCol w:w="2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968" w:type="dxa"/>
            <w:gridSpan w:val="2"/>
            <w:tcBorders>
              <w:bottom w:val="single" w:color="000000" w:sz="4" w:space="0"/>
              <w:right w:val="single" w:color="000000" w:sz="4" w:space="0"/>
            </w:tcBorders>
            <w:vAlign w:val="center"/>
          </w:tcPr>
          <w:p>
            <w:pPr>
              <w:pStyle w:val="38"/>
              <w:rPr>
                <w:b/>
                <w:bCs/>
                <w:sz w:val="24"/>
                <w:szCs w:val="24"/>
              </w:rPr>
            </w:pPr>
            <w:r>
              <w:rPr>
                <w:b/>
                <w:bCs/>
                <w:sz w:val="24"/>
                <w:szCs w:val="24"/>
              </w:rPr>
              <w:t>建设项目名称</w:t>
            </w:r>
          </w:p>
        </w:tc>
        <w:tc>
          <w:tcPr>
            <w:tcW w:w="7103" w:type="dxa"/>
            <w:gridSpan w:val="4"/>
            <w:tcBorders>
              <w:left w:val="single" w:color="000000" w:sz="4" w:space="0"/>
              <w:bottom w:val="single" w:color="000000" w:sz="4" w:space="0"/>
            </w:tcBorders>
            <w:vAlign w:val="center"/>
          </w:tcPr>
          <w:p>
            <w:pPr>
              <w:pStyle w:val="38"/>
              <w:rPr>
                <w:rFonts w:hint="eastAsia" w:eastAsia="宋体"/>
                <w:sz w:val="24"/>
                <w:szCs w:val="24"/>
                <w:lang w:eastAsia="zh-CN"/>
              </w:rPr>
            </w:pPr>
            <w:r>
              <w:rPr>
                <w:rFonts w:hint="eastAsia"/>
                <w:sz w:val="24"/>
                <w:szCs w:val="24"/>
                <w:lang w:eastAsia="zh-CN"/>
              </w:rPr>
              <w:t>凤凰县沱江镇高峰垃圾转运站项目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968" w:type="dxa"/>
            <w:gridSpan w:val="2"/>
            <w:tcBorders>
              <w:top w:val="single" w:color="000000" w:sz="4" w:space="0"/>
              <w:bottom w:val="single" w:color="000000" w:sz="4" w:space="0"/>
              <w:right w:val="single" w:color="000000" w:sz="4" w:space="0"/>
            </w:tcBorders>
            <w:vAlign w:val="center"/>
          </w:tcPr>
          <w:p>
            <w:pPr>
              <w:pStyle w:val="38"/>
              <w:rPr>
                <w:b/>
                <w:bCs/>
                <w:sz w:val="24"/>
                <w:szCs w:val="24"/>
              </w:rPr>
            </w:pPr>
            <w:r>
              <w:rPr>
                <w:b/>
                <w:bCs/>
                <w:sz w:val="24"/>
                <w:szCs w:val="24"/>
              </w:rPr>
              <w:t>项目代码</w:t>
            </w:r>
          </w:p>
        </w:tc>
        <w:tc>
          <w:tcPr>
            <w:tcW w:w="7103" w:type="dxa"/>
            <w:gridSpan w:val="4"/>
            <w:tcBorders>
              <w:top w:val="single" w:color="000000" w:sz="4" w:space="0"/>
              <w:left w:val="single" w:color="000000" w:sz="4" w:space="0"/>
              <w:bottom w:val="single" w:color="000000" w:sz="4" w:space="0"/>
            </w:tcBorders>
            <w:vAlign w:val="center"/>
          </w:tcPr>
          <w:p>
            <w:pPr>
              <w:pStyle w:val="38"/>
              <w:rPr>
                <w:rFonts w:hint="default" w:eastAsia="宋体"/>
                <w:sz w:val="24"/>
                <w:szCs w:val="24"/>
                <w:lang w:val="en-US" w:eastAsia="zh-CN"/>
              </w:rPr>
            </w:pPr>
            <w:r>
              <w:rPr>
                <w:rFonts w:hint="eastAsia"/>
                <w:sz w:val="24"/>
                <w:szCs w:val="24"/>
                <w:lang w:val="en-US" w:eastAsia="zh-CN"/>
              </w:rPr>
              <w:t>2109</w:t>
            </w:r>
            <w:r>
              <w:rPr>
                <w:sz w:val="24"/>
                <w:szCs w:val="24"/>
                <w:lang w:val="en-US"/>
              </w:rPr>
              <w:t>-433</w:t>
            </w:r>
            <w:r>
              <w:rPr>
                <w:rFonts w:hint="eastAsia"/>
                <w:sz w:val="24"/>
                <w:szCs w:val="24"/>
                <w:lang w:val="en-US" w:eastAsia="zh-CN"/>
              </w:rPr>
              <w:t>123</w:t>
            </w:r>
            <w:r>
              <w:rPr>
                <w:sz w:val="24"/>
                <w:szCs w:val="24"/>
                <w:lang w:val="en-US"/>
              </w:rPr>
              <w:t>-</w:t>
            </w:r>
            <w:r>
              <w:rPr>
                <w:rFonts w:hint="eastAsia"/>
                <w:sz w:val="24"/>
                <w:szCs w:val="24"/>
                <w:lang w:val="en-US" w:eastAsia="zh-CN"/>
              </w:rPr>
              <w:t>04</w:t>
            </w:r>
            <w:r>
              <w:rPr>
                <w:sz w:val="24"/>
                <w:szCs w:val="24"/>
                <w:lang w:val="en-US"/>
              </w:rPr>
              <w:t>-</w:t>
            </w:r>
            <w:r>
              <w:rPr>
                <w:rFonts w:hint="eastAsia"/>
                <w:sz w:val="24"/>
                <w:szCs w:val="24"/>
                <w:lang w:val="en-US" w:eastAsia="zh-CN"/>
              </w:rPr>
              <w:t>01</w:t>
            </w:r>
            <w:r>
              <w:rPr>
                <w:sz w:val="24"/>
                <w:szCs w:val="24"/>
                <w:lang w:val="en-US"/>
              </w:rPr>
              <w:t>-</w:t>
            </w:r>
            <w:r>
              <w:rPr>
                <w:rFonts w:hint="eastAsia"/>
                <w:sz w:val="24"/>
                <w:szCs w:val="24"/>
                <w:lang w:val="en-US" w:eastAsia="zh-CN"/>
              </w:rPr>
              <w:t>804287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968" w:type="dxa"/>
            <w:gridSpan w:val="2"/>
            <w:tcBorders>
              <w:top w:val="single" w:color="000000" w:sz="4" w:space="0"/>
              <w:bottom w:val="single" w:color="000000" w:sz="4" w:space="0"/>
              <w:right w:val="single" w:color="000000" w:sz="4" w:space="0"/>
            </w:tcBorders>
            <w:vAlign w:val="center"/>
          </w:tcPr>
          <w:p>
            <w:pPr>
              <w:pStyle w:val="38"/>
              <w:rPr>
                <w:b/>
                <w:bCs/>
                <w:sz w:val="24"/>
                <w:szCs w:val="24"/>
              </w:rPr>
            </w:pPr>
            <w:r>
              <w:rPr>
                <w:b/>
                <w:bCs/>
                <w:sz w:val="24"/>
                <w:szCs w:val="24"/>
              </w:rPr>
              <w:t>建设单位联系人</w:t>
            </w:r>
          </w:p>
        </w:tc>
        <w:tc>
          <w:tcPr>
            <w:tcW w:w="2141" w:type="dxa"/>
            <w:gridSpan w:val="2"/>
            <w:tcBorders>
              <w:top w:val="single" w:color="000000" w:sz="4" w:space="0"/>
              <w:left w:val="single" w:color="000000" w:sz="4" w:space="0"/>
              <w:bottom w:val="single" w:color="000000" w:sz="4" w:space="0"/>
              <w:right w:val="single" w:color="000000" w:sz="4" w:space="0"/>
            </w:tcBorders>
            <w:vAlign w:val="center"/>
          </w:tcPr>
          <w:p>
            <w:pPr>
              <w:pStyle w:val="38"/>
              <w:rPr>
                <w:rFonts w:hint="eastAsia" w:eastAsia="宋体"/>
                <w:sz w:val="24"/>
                <w:szCs w:val="24"/>
                <w:lang w:eastAsia="zh-CN"/>
              </w:rPr>
            </w:pPr>
            <w:r>
              <w:rPr>
                <w:rFonts w:hint="eastAsia"/>
                <w:sz w:val="24"/>
                <w:szCs w:val="24"/>
                <w:lang w:val="en-US" w:eastAsia="zh-CN"/>
              </w:rPr>
              <w:t>邓意</w:t>
            </w:r>
          </w:p>
        </w:tc>
        <w:tc>
          <w:tcPr>
            <w:tcW w:w="1976" w:type="dxa"/>
            <w:tcBorders>
              <w:top w:val="single" w:color="000000" w:sz="4" w:space="0"/>
              <w:left w:val="single" w:color="000000" w:sz="4" w:space="0"/>
              <w:bottom w:val="single" w:color="000000" w:sz="4" w:space="0"/>
              <w:right w:val="single" w:color="000000" w:sz="4" w:space="0"/>
            </w:tcBorders>
            <w:vAlign w:val="center"/>
          </w:tcPr>
          <w:p>
            <w:pPr>
              <w:pStyle w:val="38"/>
              <w:rPr>
                <w:b/>
                <w:bCs/>
                <w:sz w:val="24"/>
                <w:szCs w:val="24"/>
              </w:rPr>
            </w:pPr>
            <w:r>
              <w:rPr>
                <w:b/>
                <w:bCs/>
                <w:sz w:val="24"/>
                <w:szCs w:val="24"/>
              </w:rPr>
              <w:t>联系方式</w:t>
            </w:r>
          </w:p>
        </w:tc>
        <w:tc>
          <w:tcPr>
            <w:tcW w:w="2986" w:type="dxa"/>
            <w:tcBorders>
              <w:top w:val="single" w:color="000000" w:sz="4" w:space="0"/>
              <w:left w:val="single" w:color="000000" w:sz="4" w:space="0"/>
              <w:bottom w:val="single" w:color="000000" w:sz="4" w:space="0"/>
            </w:tcBorders>
            <w:vAlign w:val="center"/>
          </w:tcPr>
          <w:p>
            <w:pPr>
              <w:pStyle w:val="38"/>
              <w:rPr>
                <w:rFonts w:hint="default" w:eastAsia="宋体"/>
                <w:sz w:val="24"/>
                <w:szCs w:val="24"/>
                <w:lang w:val="en-US" w:eastAsia="zh-CN"/>
              </w:rPr>
            </w:pPr>
            <w:r>
              <w:rPr>
                <w:rFonts w:hint="eastAsia"/>
                <w:sz w:val="24"/>
                <w:szCs w:val="24"/>
                <w:lang w:val="en-US" w:eastAsia="zh-CN"/>
              </w:rPr>
              <w:t>13787934295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968" w:type="dxa"/>
            <w:gridSpan w:val="2"/>
            <w:tcBorders>
              <w:top w:val="single" w:color="000000" w:sz="4" w:space="0"/>
              <w:bottom w:val="single" w:color="000000" w:sz="4" w:space="0"/>
              <w:right w:val="single" w:color="000000" w:sz="4" w:space="0"/>
            </w:tcBorders>
            <w:vAlign w:val="center"/>
          </w:tcPr>
          <w:p>
            <w:pPr>
              <w:pStyle w:val="38"/>
              <w:rPr>
                <w:b/>
                <w:bCs/>
                <w:sz w:val="24"/>
                <w:szCs w:val="24"/>
              </w:rPr>
            </w:pPr>
            <w:r>
              <w:rPr>
                <w:b/>
                <w:bCs/>
                <w:sz w:val="24"/>
                <w:szCs w:val="24"/>
              </w:rPr>
              <w:t>建设地点</w:t>
            </w:r>
          </w:p>
        </w:tc>
        <w:tc>
          <w:tcPr>
            <w:tcW w:w="7103" w:type="dxa"/>
            <w:gridSpan w:val="4"/>
            <w:tcBorders>
              <w:top w:val="single" w:color="000000" w:sz="4" w:space="0"/>
              <w:left w:val="single" w:color="000000" w:sz="4" w:space="0"/>
              <w:bottom w:val="nil"/>
            </w:tcBorders>
            <w:vAlign w:val="center"/>
          </w:tcPr>
          <w:p>
            <w:pPr>
              <w:pStyle w:val="38"/>
              <w:rPr>
                <w:rFonts w:hint="eastAsia" w:eastAsia="宋体"/>
                <w:sz w:val="24"/>
                <w:szCs w:val="24"/>
                <w:lang w:eastAsia="zh-CN"/>
              </w:rPr>
            </w:pPr>
            <w:r>
              <w:rPr>
                <w:rFonts w:hint="eastAsia"/>
                <w:sz w:val="24"/>
                <w:szCs w:val="24"/>
              </w:rPr>
              <w:t>湖南省湘西土家族苗族自治州</w:t>
            </w:r>
            <w:r>
              <w:rPr>
                <w:rFonts w:hint="eastAsia"/>
                <w:sz w:val="24"/>
                <w:szCs w:val="24"/>
                <w:lang w:eastAsia="zh-CN"/>
              </w:rPr>
              <w:t>凤凰县沱江镇高峰村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968" w:type="dxa"/>
            <w:gridSpan w:val="2"/>
            <w:tcBorders>
              <w:top w:val="single" w:color="000000" w:sz="4" w:space="0"/>
              <w:bottom w:val="single" w:color="000000" w:sz="4" w:space="0"/>
              <w:right w:val="single" w:color="000000" w:sz="4" w:space="0"/>
            </w:tcBorders>
            <w:vAlign w:val="center"/>
          </w:tcPr>
          <w:p>
            <w:pPr>
              <w:pStyle w:val="38"/>
              <w:rPr>
                <w:b/>
                <w:bCs/>
                <w:sz w:val="24"/>
                <w:szCs w:val="24"/>
              </w:rPr>
            </w:pPr>
            <w:r>
              <w:rPr>
                <w:b/>
                <w:bCs/>
                <w:sz w:val="24"/>
                <w:szCs w:val="24"/>
              </w:rPr>
              <w:t>地理坐标</w:t>
            </w:r>
          </w:p>
        </w:tc>
        <w:tc>
          <w:tcPr>
            <w:tcW w:w="7103" w:type="dxa"/>
            <w:gridSpan w:val="4"/>
            <w:tcBorders>
              <w:top w:val="single" w:color="000000" w:sz="4" w:space="0"/>
              <w:left w:val="single" w:color="000000" w:sz="4" w:space="0"/>
              <w:bottom w:val="single" w:color="000000" w:sz="4" w:space="0"/>
            </w:tcBorders>
            <w:vAlign w:val="center"/>
          </w:tcPr>
          <w:p>
            <w:pPr>
              <w:pStyle w:val="38"/>
              <w:rPr>
                <w:sz w:val="24"/>
                <w:szCs w:val="24"/>
              </w:rPr>
            </w:pPr>
            <w:r>
              <w:rPr>
                <w:rFonts w:hint="eastAsia"/>
                <w:sz w:val="24"/>
                <w:szCs w:val="24"/>
                <w:lang w:val="en-US" w:eastAsia="zh-CN"/>
              </w:rPr>
              <w:t>E</w:t>
            </w:r>
            <w:r>
              <w:rPr>
                <w:rFonts w:hint="eastAsia"/>
                <w:sz w:val="24"/>
                <w:szCs w:val="24"/>
              </w:rPr>
              <w:t>109°37′50.750″,</w:t>
            </w:r>
            <w:r>
              <w:rPr>
                <w:rFonts w:hint="eastAsia"/>
                <w:sz w:val="24"/>
                <w:szCs w:val="24"/>
                <w:lang w:val="en-US" w:eastAsia="zh-CN"/>
              </w:rPr>
              <w:t>N</w:t>
            </w:r>
            <w:r>
              <w:rPr>
                <w:rFonts w:hint="eastAsia"/>
                <w:sz w:val="24"/>
                <w:szCs w:val="24"/>
              </w:rPr>
              <w:t>27°56′21.679″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968" w:type="dxa"/>
            <w:gridSpan w:val="2"/>
            <w:tcBorders>
              <w:top w:val="single" w:color="000000" w:sz="4" w:space="0"/>
              <w:bottom w:val="single" w:color="000000" w:sz="4" w:space="0"/>
              <w:right w:val="single" w:color="000000" w:sz="4" w:space="0"/>
            </w:tcBorders>
            <w:vAlign w:val="center"/>
          </w:tcPr>
          <w:p>
            <w:pPr>
              <w:pStyle w:val="38"/>
              <w:rPr>
                <w:b/>
                <w:bCs/>
                <w:sz w:val="24"/>
                <w:szCs w:val="24"/>
              </w:rPr>
            </w:pPr>
            <w:r>
              <w:rPr>
                <w:b/>
                <w:bCs/>
                <w:sz w:val="24"/>
                <w:szCs w:val="24"/>
              </w:rPr>
              <w:t>国民经济行业类别</w:t>
            </w:r>
          </w:p>
        </w:tc>
        <w:tc>
          <w:tcPr>
            <w:tcW w:w="2141" w:type="dxa"/>
            <w:gridSpan w:val="2"/>
            <w:tcBorders>
              <w:top w:val="single" w:color="000000" w:sz="4" w:space="0"/>
              <w:left w:val="single" w:color="000000" w:sz="4" w:space="0"/>
              <w:bottom w:val="single" w:color="000000" w:sz="4" w:space="0"/>
              <w:right w:val="single" w:color="000000" w:sz="4" w:space="0"/>
            </w:tcBorders>
            <w:vAlign w:val="center"/>
          </w:tcPr>
          <w:p>
            <w:pPr>
              <w:pStyle w:val="38"/>
              <w:rPr>
                <w:rFonts w:hint="eastAsia" w:eastAsia="宋体"/>
                <w:sz w:val="24"/>
                <w:szCs w:val="24"/>
                <w:lang w:val="en-US" w:eastAsia="zh-CN"/>
              </w:rPr>
            </w:pPr>
            <w:r>
              <w:rPr>
                <w:rFonts w:hint="eastAsia"/>
                <w:sz w:val="24"/>
                <w:szCs w:val="24"/>
                <w:lang w:val="en-US" w:eastAsia="zh-CN"/>
              </w:rPr>
              <w:t>N7820环境卫生管理</w:t>
            </w:r>
          </w:p>
        </w:tc>
        <w:tc>
          <w:tcPr>
            <w:tcW w:w="1976" w:type="dxa"/>
            <w:tcBorders>
              <w:top w:val="single" w:color="000000" w:sz="4" w:space="0"/>
              <w:left w:val="single" w:color="000000" w:sz="4" w:space="0"/>
              <w:bottom w:val="single" w:color="000000" w:sz="4" w:space="0"/>
              <w:right w:val="single" w:color="000000" w:sz="4" w:space="0"/>
            </w:tcBorders>
            <w:vAlign w:val="center"/>
          </w:tcPr>
          <w:p>
            <w:pPr>
              <w:pStyle w:val="38"/>
              <w:rPr>
                <w:b/>
                <w:bCs/>
                <w:sz w:val="24"/>
                <w:szCs w:val="24"/>
              </w:rPr>
            </w:pPr>
            <w:r>
              <w:rPr>
                <w:b/>
                <w:bCs/>
                <w:sz w:val="24"/>
                <w:szCs w:val="24"/>
              </w:rPr>
              <w:t>建设项目行业类别</w:t>
            </w:r>
          </w:p>
        </w:tc>
        <w:tc>
          <w:tcPr>
            <w:tcW w:w="2986" w:type="dxa"/>
            <w:tcBorders>
              <w:top w:val="single" w:color="000000" w:sz="4" w:space="0"/>
              <w:left w:val="single" w:color="000000" w:sz="4" w:space="0"/>
              <w:bottom w:val="single" w:color="000000" w:sz="4" w:space="0"/>
            </w:tcBorders>
            <w:vAlign w:val="center"/>
          </w:tcPr>
          <w:p>
            <w:pPr>
              <w:pStyle w:val="38"/>
              <w:rPr>
                <w:rFonts w:hint="eastAsia" w:eastAsia="宋体"/>
                <w:sz w:val="24"/>
                <w:szCs w:val="24"/>
                <w:lang w:eastAsia="zh-CN"/>
              </w:rPr>
            </w:pPr>
            <w:r>
              <w:rPr>
                <w:rFonts w:hint="eastAsia"/>
                <w:sz w:val="24"/>
                <w:szCs w:val="24"/>
                <w:lang w:val="en-US" w:eastAsia="zh-CN"/>
              </w:rPr>
              <w:t>105</w:t>
            </w:r>
            <w:r>
              <w:rPr>
                <w:rFonts w:hint="eastAsia"/>
                <w:sz w:val="24"/>
                <w:szCs w:val="24"/>
                <w:lang w:eastAsia="zh-CN"/>
              </w:rPr>
              <w:t>生活垃圾（含餐厨废弃物）转运站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968" w:type="dxa"/>
            <w:gridSpan w:val="2"/>
            <w:tcBorders>
              <w:top w:val="single" w:color="000000" w:sz="4" w:space="0"/>
              <w:bottom w:val="single" w:color="000000" w:sz="4" w:space="0"/>
              <w:right w:val="single" w:color="000000" w:sz="4" w:space="0"/>
            </w:tcBorders>
            <w:vAlign w:val="center"/>
          </w:tcPr>
          <w:p>
            <w:pPr>
              <w:pStyle w:val="38"/>
              <w:rPr>
                <w:b/>
                <w:bCs/>
                <w:sz w:val="24"/>
                <w:szCs w:val="24"/>
              </w:rPr>
            </w:pPr>
            <w:r>
              <w:rPr>
                <w:b/>
                <w:bCs/>
                <w:sz w:val="24"/>
                <w:szCs w:val="24"/>
              </w:rPr>
              <w:t>建设性质</w:t>
            </w:r>
          </w:p>
        </w:tc>
        <w:tc>
          <w:tcPr>
            <w:tcW w:w="2141" w:type="dxa"/>
            <w:gridSpan w:val="2"/>
            <w:tcBorders>
              <w:top w:val="single" w:color="000000" w:sz="4" w:space="0"/>
              <w:left w:val="single" w:color="000000" w:sz="4" w:space="0"/>
              <w:bottom w:val="single" w:color="000000" w:sz="4" w:space="0"/>
              <w:right w:val="single" w:color="000000" w:sz="4" w:space="0"/>
            </w:tcBorders>
          </w:tcPr>
          <w:p>
            <w:pPr>
              <w:pStyle w:val="38"/>
              <w:jc w:val="left"/>
              <w:rPr>
                <w:sz w:val="24"/>
                <w:szCs w:val="24"/>
              </w:rPr>
            </w:pPr>
            <w:r>
              <w:rPr>
                <w:sz w:val="24"/>
                <w:szCs w:val="24"/>
              </w:rPr>
              <w:sym w:font="Wingdings" w:char="00FE"/>
            </w:r>
            <w:r>
              <w:rPr>
                <w:sz w:val="24"/>
                <w:szCs w:val="24"/>
              </w:rPr>
              <w:t xml:space="preserve">新建（迁建） </w:t>
            </w:r>
          </w:p>
          <w:p>
            <w:pPr>
              <w:pStyle w:val="38"/>
              <w:jc w:val="left"/>
              <w:rPr>
                <w:sz w:val="24"/>
                <w:szCs w:val="24"/>
              </w:rPr>
            </w:pPr>
            <w:r>
              <w:rPr>
                <w:sz w:val="24"/>
                <w:szCs w:val="24"/>
              </w:rPr>
              <w:t xml:space="preserve">□改建 </w:t>
            </w:r>
          </w:p>
          <w:p>
            <w:pPr>
              <w:pStyle w:val="38"/>
              <w:jc w:val="left"/>
              <w:rPr>
                <w:sz w:val="24"/>
                <w:szCs w:val="24"/>
              </w:rPr>
            </w:pPr>
            <w:r>
              <w:rPr>
                <w:sz w:val="24"/>
                <w:szCs w:val="24"/>
              </w:rPr>
              <w:t xml:space="preserve">□扩建 </w:t>
            </w:r>
          </w:p>
          <w:p>
            <w:pPr>
              <w:pStyle w:val="38"/>
              <w:jc w:val="left"/>
              <w:rPr>
                <w:sz w:val="24"/>
                <w:szCs w:val="24"/>
              </w:rPr>
            </w:pPr>
            <w:r>
              <w:rPr>
                <w:sz w:val="24"/>
                <w:szCs w:val="24"/>
              </w:rPr>
              <w:t xml:space="preserve">□技术改造 </w:t>
            </w:r>
          </w:p>
        </w:tc>
        <w:tc>
          <w:tcPr>
            <w:tcW w:w="1976" w:type="dxa"/>
            <w:tcBorders>
              <w:top w:val="single" w:color="000000" w:sz="4" w:space="0"/>
              <w:left w:val="single" w:color="000000" w:sz="4" w:space="0"/>
              <w:bottom w:val="single" w:color="000000" w:sz="4" w:space="0"/>
              <w:right w:val="single" w:color="000000" w:sz="4" w:space="0"/>
            </w:tcBorders>
            <w:vAlign w:val="center"/>
          </w:tcPr>
          <w:p>
            <w:pPr>
              <w:pStyle w:val="38"/>
              <w:rPr>
                <w:b/>
                <w:bCs/>
                <w:sz w:val="24"/>
                <w:szCs w:val="24"/>
              </w:rPr>
            </w:pPr>
            <w:r>
              <w:rPr>
                <w:b/>
                <w:bCs/>
                <w:sz w:val="24"/>
                <w:szCs w:val="24"/>
              </w:rPr>
              <w:t>建设项目申报情形</w:t>
            </w:r>
          </w:p>
        </w:tc>
        <w:tc>
          <w:tcPr>
            <w:tcW w:w="2986" w:type="dxa"/>
            <w:tcBorders>
              <w:top w:val="single" w:color="000000" w:sz="4" w:space="0"/>
              <w:left w:val="single" w:color="000000" w:sz="4" w:space="0"/>
              <w:bottom w:val="single" w:color="000000" w:sz="4" w:space="0"/>
            </w:tcBorders>
          </w:tcPr>
          <w:p>
            <w:pPr>
              <w:pStyle w:val="38"/>
              <w:jc w:val="left"/>
              <w:rPr>
                <w:sz w:val="24"/>
                <w:szCs w:val="24"/>
              </w:rPr>
            </w:pPr>
            <w:r>
              <w:rPr>
                <w:sz w:val="24"/>
                <w:szCs w:val="24"/>
              </w:rPr>
              <w:sym w:font="Wingdings" w:char="00FE"/>
            </w:r>
            <w:r>
              <w:rPr>
                <w:sz w:val="24"/>
                <w:szCs w:val="24"/>
              </w:rPr>
              <w:t xml:space="preserve">首次申报项目           </w:t>
            </w:r>
          </w:p>
          <w:p>
            <w:pPr>
              <w:pStyle w:val="38"/>
              <w:jc w:val="left"/>
              <w:rPr>
                <w:sz w:val="24"/>
                <w:szCs w:val="24"/>
              </w:rPr>
            </w:pPr>
            <w:r>
              <w:rPr>
                <w:sz w:val="24"/>
                <w:szCs w:val="24"/>
              </w:rPr>
              <w:sym w:font="Wingdings" w:char="00A8"/>
            </w:r>
            <w:r>
              <w:rPr>
                <w:sz w:val="24"/>
                <w:szCs w:val="24"/>
              </w:rPr>
              <w:t xml:space="preserve">不予批准后再次申报项目 </w:t>
            </w:r>
          </w:p>
          <w:p>
            <w:pPr>
              <w:pStyle w:val="38"/>
              <w:jc w:val="left"/>
              <w:rPr>
                <w:sz w:val="24"/>
                <w:szCs w:val="24"/>
              </w:rPr>
            </w:pPr>
            <w:r>
              <w:rPr>
                <w:sz w:val="24"/>
                <w:szCs w:val="24"/>
              </w:rPr>
              <w:sym w:font="Wingdings" w:char="00A8"/>
            </w:r>
            <w:r>
              <w:rPr>
                <w:sz w:val="24"/>
                <w:szCs w:val="24"/>
              </w:rPr>
              <w:t xml:space="preserve">超五年重新审核项目     </w:t>
            </w:r>
          </w:p>
          <w:p>
            <w:pPr>
              <w:pStyle w:val="38"/>
              <w:jc w:val="left"/>
              <w:rPr>
                <w:sz w:val="24"/>
                <w:szCs w:val="24"/>
              </w:rPr>
            </w:pPr>
            <w:r>
              <w:rPr>
                <w:sz w:val="24"/>
                <w:szCs w:val="24"/>
              </w:rPr>
              <w:sym w:font="Wingdings" w:char="00A8"/>
            </w:r>
            <w:r>
              <w:rPr>
                <w:sz w:val="24"/>
                <w:szCs w:val="24"/>
              </w:rPr>
              <w:t xml:space="preserve">重大变动重新报批项目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968" w:type="dxa"/>
            <w:gridSpan w:val="2"/>
            <w:tcBorders>
              <w:top w:val="single" w:color="000000" w:sz="4" w:space="0"/>
              <w:bottom w:val="single" w:color="000000" w:sz="4" w:space="0"/>
              <w:right w:val="single" w:color="000000" w:sz="4" w:space="0"/>
            </w:tcBorders>
            <w:vAlign w:val="center"/>
          </w:tcPr>
          <w:p>
            <w:pPr>
              <w:pStyle w:val="38"/>
              <w:rPr>
                <w:b/>
                <w:bCs/>
                <w:sz w:val="24"/>
                <w:szCs w:val="24"/>
              </w:rPr>
            </w:pPr>
            <w:r>
              <w:rPr>
                <w:b/>
                <w:bCs/>
                <w:sz w:val="24"/>
                <w:szCs w:val="24"/>
              </w:rPr>
              <w:t>项目审批部门</w:t>
            </w:r>
          </w:p>
        </w:tc>
        <w:tc>
          <w:tcPr>
            <w:tcW w:w="2141" w:type="dxa"/>
            <w:gridSpan w:val="2"/>
            <w:tcBorders>
              <w:top w:val="single" w:color="000000" w:sz="4" w:space="0"/>
              <w:left w:val="single" w:color="000000" w:sz="4" w:space="0"/>
              <w:bottom w:val="single" w:color="000000" w:sz="4" w:space="0"/>
              <w:right w:val="single" w:color="000000" w:sz="4" w:space="0"/>
            </w:tcBorders>
            <w:vAlign w:val="center"/>
          </w:tcPr>
          <w:p>
            <w:pPr>
              <w:pStyle w:val="38"/>
              <w:rPr>
                <w:sz w:val="24"/>
                <w:szCs w:val="24"/>
              </w:rPr>
            </w:pPr>
            <w:r>
              <w:rPr>
                <w:rFonts w:hint="eastAsia"/>
                <w:sz w:val="24"/>
                <w:szCs w:val="24"/>
                <w:lang w:eastAsia="zh-CN"/>
              </w:rPr>
              <w:t>凤凰</w:t>
            </w:r>
            <w:r>
              <w:rPr>
                <w:rFonts w:hint="eastAsia"/>
                <w:sz w:val="24"/>
                <w:szCs w:val="24"/>
              </w:rPr>
              <w:t>县发展和改革局</w:t>
            </w:r>
          </w:p>
        </w:tc>
        <w:tc>
          <w:tcPr>
            <w:tcW w:w="1976" w:type="dxa"/>
            <w:tcBorders>
              <w:top w:val="single" w:color="000000" w:sz="4" w:space="0"/>
              <w:left w:val="single" w:color="000000" w:sz="4" w:space="0"/>
              <w:bottom w:val="single" w:color="000000" w:sz="4" w:space="0"/>
              <w:right w:val="single" w:color="000000" w:sz="4" w:space="0"/>
            </w:tcBorders>
            <w:vAlign w:val="center"/>
          </w:tcPr>
          <w:p>
            <w:pPr>
              <w:pStyle w:val="38"/>
              <w:rPr>
                <w:b/>
                <w:bCs/>
                <w:sz w:val="24"/>
                <w:szCs w:val="24"/>
              </w:rPr>
            </w:pPr>
            <w:r>
              <w:rPr>
                <w:b/>
                <w:bCs/>
                <w:sz w:val="24"/>
                <w:szCs w:val="24"/>
              </w:rPr>
              <w:t>项目审批文号</w:t>
            </w:r>
          </w:p>
        </w:tc>
        <w:tc>
          <w:tcPr>
            <w:tcW w:w="2986" w:type="dxa"/>
            <w:tcBorders>
              <w:top w:val="single" w:color="000000" w:sz="4" w:space="0"/>
              <w:left w:val="single" w:color="000000" w:sz="4" w:space="0"/>
              <w:bottom w:val="single" w:color="000000" w:sz="4" w:space="0"/>
            </w:tcBorders>
            <w:vAlign w:val="center"/>
          </w:tcPr>
          <w:p>
            <w:pPr>
              <w:pStyle w:val="38"/>
              <w:rPr>
                <w:sz w:val="24"/>
                <w:szCs w:val="24"/>
              </w:rPr>
            </w:pPr>
            <w:r>
              <w:rPr>
                <w:rFonts w:hint="eastAsia"/>
                <w:sz w:val="24"/>
                <w:szCs w:val="24"/>
                <w:lang w:val="en-US" w:eastAsia="zh-CN"/>
              </w:rPr>
              <w:t>凤</w:t>
            </w:r>
            <w:r>
              <w:rPr>
                <w:sz w:val="24"/>
                <w:szCs w:val="24"/>
                <w:lang w:val="en-US"/>
              </w:rPr>
              <w:t>发改</w:t>
            </w:r>
            <w:r>
              <w:rPr>
                <w:rFonts w:hint="eastAsia"/>
                <w:sz w:val="24"/>
                <w:szCs w:val="24"/>
                <w:lang w:val="en-US" w:eastAsia="zh-CN"/>
              </w:rPr>
              <w:t>字</w:t>
            </w:r>
            <w:r>
              <w:rPr>
                <w:sz w:val="24"/>
                <w:szCs w:val="24"/>
                <w:lang w:val="en-US"/>
              </w:rPr>
              <w:t>[20</w:t>
            </w:r>
            <w:r>
              <w:rPr>
                <w:rFonts w:hint="eastAsia"/>
                <w:sz w:val="24"/>
                <w:szCs w:val="24"/>
                <w:lang w:val="en-US" w:eastAsia="zh-CN"/>
              </w:rPr>
              <w:t>21</w:t>
            </w:r>
            <w:r>
              <w:rPr>
                <w:sz w:val="24"/>
                <w:szCs w:val="24"/>
                <w:lang w:val="en-US"/>
              </w:rPr>
              <w:t>]</w:t>
            </w:r>
            <w:r>
              <w:rPr>
                <w:rFonts w:hint="eastAsia"/>
                <w:sz w:val="24"/>
                <w:szCs w:val="24"/>
                <w:lang w:val="en-US" w:eastAsia="zh-CN"/>
              </w:rPr>
              <w:t>586</w:t>
            </w:r>
            <w:r>
              <w:rPr>
                <w:sz w:val="24"/>
                <w:szCs w:val="24"/>
                <w:lang w:val="en-US"/>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968" w:type="dxa"/>
            <w:gridSpan w:val="2"/>
            <w:tcBorders>
              <w:top w:val="single" w:color="000000" w:sz="4" w:space="0"/>
              <w:bottom w:val="single" w:color="000000" w:sz="4" w:space="0"/>
              <w:right w:val="single" w:color="000000" w:sz="4" w:space="0"/>
            </w:tcBorders>
            <w:vAlign w:val="center"/>
          </w:tcPr>
          <w:p>
            <w:pPr>
              <w:pStyle w:val="38"/>
              <w:rPr>
                <w:b/>
                <w:bCs/>
                <w:sz w:val="24"/>
                <w:szCs w:val="24"/>
              </w:rPr>
            </w:pPr>
            <w:r>
              <w:rPr>
                <w:b/>
                <w:bCs/>
                <w:sz w:val="24"/>
                <w:szCs w:val="24"/>
              </w:rPr>
              <w:t>总投资（万元）</w:t>
            </w:r>
          </w:p>
        </w:tc>
        <w:tc>
          <w:tcPr>
            <w:tcW w:w="2141" w:type="dxa"/>
            <w:gridSpan w:val="2"/>
            <w:tcBorders>
              <w:top w:val="single" w:color="000000" w:sz="4" w:space="0"/>
              <w:left w:val="single" w:color="000000" w:sz="4" w:space="0"/>
              <w:bottom w:val="single" w:color="000000" w:sz="4" w:space="0"/>
              <w:right w:val="single" w:color="000000" w:sz="4" w:space="0"/>
            </w:tcBorders>
            <w:vAlign w:val="center"/>
          </w:tcPr>
          <w:p>
            <w:pPr>
              <w:pStyle w:val="38"/>
              <w:rPr>
                <w:sz w:val="24"/>
                <w:szCs w:val="24"/>
              </w:rPr>
            </w:pPr>
            <w:r>
              <w:rPr>
                <w:rFonts w:hint="eastAsia"/>
                <w:sz w:val="24"/>
                <w:szCs w:val="24"/>
                <w:lang w:val="en-US" w:eastAsia="zh-CN"/>
              </w:rPr>
              <w:t>2618.47</w:t>
            </w:r>
            <w:r>
              <w:rPr>
                <w:sz w:val="24"/>
                <w:szCs w:val="24"/>
              </w:rPr>
              <w:t>万元</w:t>
            </w:r>
          </w:p>
        </w:tc>
        <w:tc>
          <w:tcPr>
            <w:tcW w:w="1976" w:type="dxa"/>
            <w:tcBorders>
              <w:top w:val="single" w:color="000000" w:sz="4" w:space="0"/>
              <w:left w:val="single" w:color="000000" w:sz="4" w:space="0"/>
              <w:bottom w:val="single" w:color="000000" w:sz="4" w:space="0"/>
              <w:right w:val="single" w:color="000000" w:sz="4" w:space="0"/>
            </w:tcBorders>
            <w:vAlign w:val="center"/>
          </w:tcPr>
          <w:p>
            <w:pPr>
              <w:pStyle w:val="38"/>
              <w:rPr>
                <w:b/>
                <w:bCs/>
                <w:sz w:val="24"/>
                <w:szCs w:val="24"/>
              </w:rPr>
            </w:pPr>
            <w:r>
              <w:rPr>
                <w:b/>
                <w:bCs/>
                <w:sz w:val="24"/>
                <w:szCs w:val="24"/>
              </w:rPr>
              <w:t>环保投资（万元）</w:t>
            </w:r>
          </w:p>
        </w:tc>
        <w:tc>
          <w:tcPr>
            <w:tcW w:w="2986" w:type="dxa"/>
            <w:tcBorders>
              <w:top w:val="single" w:color="000000" w:sz="4" w:space="0"/>
              <w:left w:val="single" w:color="000000" w:sz="4" w:space="0"/>
              <w:bottom w:val="single" w:color="000000" w:sz="4" w:space="0"/>
            </w:tcBorders>
            <w:vAlign w:val="center"/>
          </w:tcPr>
          <w:p>
            <w:pPr>
              <w:pStyle w:val="38"/>
              <w:rPr>
                <w:sz w:val="24"/>
                <w:szCs w:val="24"/>
              </w:rPr>
            </w:pPr>
            <w:r>
              <w:rPr>
                <w:rFonts w:hint="eastAsia"/>
                <w:sz w:val="24"/>
                <w:szCs w:val="24"/>
                <w:lang w:val="en-US" w:eastAsia="zh-CN"/>
              </w:rPr>
              <w:t>157.3</w:t>
            </w:r>
            <w:r>
              <w:rPr>
                <w:sz w:val="24"/>
                <w:szCs w:val="24"/>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968" w:type="dxa"/>
            <w:gridSpan w:val="2"/>
            <w:tcBorders>
              <w:top w:val="single" w:color="000000" w:sz="4" w:space="0"/>
              <w:bottom w:val="single" w:color="000000" w:sz="4" w:space="0"/>
              <w:right w:val="single" w:color="000000" w:sz="4" w:space="0"/>
            </w:tcBorders>
            <w:vAlign w:val="center"/>
          </w:tcPr>
          <w:p>
            <w:pPr>
              <w:pStyle w:val="38"/>
              <w:rPr>
                <w:b/>
                <w:bCs/>
                <w:sz w:val="24"/>
                <w:szCs w:val="24"/>
              </w:rPr>
            </w:pPr>
            <w:r>
              <w:rPr>
                <w:b/>
                <w:bCs/>
                <w:sz w:val="24"/>
                <w:szCs w:val="24"/>
              </w:rPr>
              <w:t>环保投资占比（%）</w:t>
            </w:r>
          </w:p>
        </w:tc>
        <w:tc>
          <w:tcPr>
            <w:tcW w:w="2141" w:type="dxa"/>
            <w:gridSpan w:val="2"/>
            <w:tcBorders>
              <w:top w:val="single" w:color="000000" w:sz="4" w:space="0"/>
              <w:left w:val="single" w:color="000000" w:sz="4" w:space="0"/>
              <w:bottom w:val="single" w:color="000000" w:sz="4" w:space="0"/>
              <w:right w:val="single" w:color="000000" w:sz="4" w:space="0"/>
            </w:tcBorders>
            <w:vAlign w:val="center"/>
          </w:tcPr>
          <w:p>
            <w:pPr>
              <w:pStyle w:val="38"/>
              <w:rPr>
                <w:sz w:val="24"/>
                <w:szCs w:val="24"/>
              </w:rPr>
            </w:pPr>
            <w:r>
              <w:rPr>
                <w:rFonts w:hint="eastAsia"/>
                <w:sz w:val="24"/>
                <w:szCs w:val="24"/>
                <w:lang w:val="en-US" w:eastAsia="zh-CN"/>
              </w:rPr>
              <w:t>6.01</w:t>
            </w:r>
            <w:r>
              <w:rPr>
                <w:sz w:val="24"/>
                <w:szCs w:val="24"/>
              </w:rPr>
              <w:t>%</w:t>
            </w:r>
          </w:p>
        </w:tc>
        <w:tc>
          <w:tcPr>
            <w:tcW w:w="1976" w:type="dxa"/>
            <w:tcBorders>
              <w:top w:val="single" w:color="000000" w:sz="4" w:space="0"/>
              <w:left w:val="single" w:color="000000" w:sz="4" w:space="0"/>
              <w:bottom w:val="single" w:color="000000" w:sz="4" w:space="0"/>
              <w:right w:val="single" w:color="000000" w:sz="4" w:space="0"/>
            </w:tcBorders>
            <w:vAlign w:val="center"/>
          </w:tcPr>
          <w:p>
            <w:pPr>
              <w:pStyle w:val="38"/>
              <w:rPr>
                <w:b/>
                <w:bCs/>
                <w:sz w:val="24"/>
                <w:szCs w:val="24"/>
              </w:rPr>
            </w:pPr>
            <w:r>
              <w:rPr>
                <w:b/>
                <w:bCs/>
                <w:sz w:val="24"/>
                <w:szCs w:val="24"/>
              </w:rPr>
              <w:t>施工工期</w:t>
            </w:r>
          </w:p>
        </w:tc>
        <w:tc>
          <w:tcPr>
            <w:tcW w:w="2986" w:type="dxa"/>
            <w:tcBorders>
              <w:top w:val="single" w:color="000000" w:sz="4" w:space="0"/>
              <w:left w:val="single" w:color="000000" w:sz="4" w:space="0"/>
              <w:bottom w:val="single" w:color="000000" w:sz="4" w:space="0"/>
            </w:tcBorders>
            <w:vAlign w:val="center"/>
          </w:tcPr>
          <w:p>
            <w:pPr>
              <w:pStyle w:val="38"/>
              <w:rPr>
                <w:sz w:val="24"/>
                <w:szCs w:val="24"/>
              </w:rPr>
            </w:pPr>
            <w:r>
              <w:rPr>
                <w:rFonts w:hint="eastAsia"/>
                <w:sz w:val="24"/>
                <w:szCs w:val="24"/>
                <w:lang w:val="en-US" w:eastAsia="zh-CN"/>
              </w:rPr>
              <w:t>8</w:t>
            </w:r>
            <w:r>
              <w:rPr>
                <w:rFonts w:hint="eastAsia"/>
                <w:sz w:val="24"/>
                <w:szCs w:val="24"/>
                <w:lang w:val="en-US"/>
              </w:rPr>
              <w:t>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968" w:type="dxa"/>
            <w:gridSpan w:val="2"/>
            <w:tcBorders>
              <w:top w:val="single" w:color="000000" w:sz="4" w:space="0"/>
              <w:bottom w:val="single" w:color="000000" w:sz="4" w:space="0"/>
              <w:right w:val="single" w:color="000000" w:sz="4" w:space="0"/>
            </w:tcBorders>
            <w:vAlign w:val="center"/>
          </w:tcPr>
          <w:p>
            <w:pPr>
              <w:pStyle w:val="38"/>
              <w:rPr>
                <w:b/>
                <w:bCs/>
                <w:sz w:val="24"/>
                <w:szCs w:val="24"/>
              </w:rPr>
            </w:pPr>
            <w:r>
              <w:rPr>
                <w:b/>
                <w:bCs/>
                <w:sz w:val="24"/>
                <w:szCs w:val="24"/>
              </w:rPr>
              <w:t>是否开工建设</w:t>
            </w:r>
          </w:p>
        </w:tc>
        <w:tc>
          <w:tcPr>
            <w:tcW w:w="2141" w:type="dxa"/>
            <w:gridSpan w:val="2"/>
            <w:tcBorders>
              <w:top w:val="single" w:color="000000" w:sz="4" w:space="0"/>
              <w:left w:val="single" w:color="000000" w:sz="4" w:space="0"/>
              <w:bottom w:val="single" w:color="000000" w:sz="4" w:space="0"/>
              <w:right w:val="single" w:color="000000" w:sz="4" w:space="0"/>
            </w:tcBorders>
            <w:vAlign w:val="center"/>
          </w:tcPr>
          <w:p>
            <w:pPr>
              <w:pStyle w:val="38"/>
              <w:jc w:val="left"/>
              <w:rPr>
                <w:sz w:val="24"/>
                <w:szCs w:val="24"/>
              </w:rPr>
            </w:pPr>
            <w:r>
              <w:rPr>
                <w:sz w:val="24"/>
                <w:szCs w:val="24"/>
              </w:rPr>
              <w:sym w:font="Wingdings" w:char="00FE"/>
            </w:r>
            <w:r>
              <w:rPr>
                <w:sz w:val="24"/>
                <w:szCs w:val="24"/>
              </w:rPr>
              <w:t>否</w:t>
            </w:r>
          </w:p>
          <w:p>
            <w:pPr>
              <w:pStyle w:val="38"/>
              <w:jc w:val="left"/>
              <w:rPr>
                <w:sz w:val="24"/>
                <w:szCs w:val="24"/>
              </w:rPr>
            </w:pPr>
            <w:r>
              <w:rPr>
                <w:sz w:val="24"/>
                <w:szCs w:val="24"/>
              </w:rPr>
              <w:sym w:font="Wingdings" w:char="00A8"/>
            </w:r>
            <w:r>
              <w:rPr>
                <w:sz w:val="24"/>
                <w:szCs w:val="24"/>
              </w:rPr>
              <w:t>是：</w:t>
            </w:r>
          </w:p>
        </w:tc>
        <w:tc>
          <w:tcPr>
            <w:tcW w:w="1976" w:type="dxa"/>
            <w:tcBorders>
              <w:top w:val="single" w:color="000000" w:sz="4" w:space="0"/>
              <w:left w:val="single" w:color="000000" w:sz="4" w:space="0"/>
              <w:bottom w:val="single" w:color="000000" w:sz="4" w:space="0"/>
              <w:right w:val="single" w:color="000000" w:sz="4" w:space="0"/>
            </w:tcBorders>
            <w:vAlign w:val="center"/>
          </w:tcPr>
          <w:p>
            <w:pPr>
              <w:pStyle w:val="38"/>
              <w:rPr>
                <w:b/>
                <w:bCs/>
                <w:sz w:val="24"/>
                <w:szCs w:val="24"/>
              </w:rPr>
            </w:pPr>
            <w:r>
              <w:rPr>
                <w:b/>
                <w:bCs/>
                <w:sz w:val="24"/>
                <w:szCs w:val="24"/>
              </w:rPr>
              <w:t>用地面积（m</w:t>
            </w:r>
            <w:r>
              <w:rPr>
                <w:b/>
                <w:bCs/>
                <w:sz w:val="24"/>
                <w:szCs w:val="24"/>
                <w:vertAlign w:val="superscript"/>
              </w:rPr>
              <w:t>2</w:t>
            </w:r>
            <w:r>
              <w:rPr>
                <w:b/>
                <w:bCs/>
                <w:sz w:val="24"/>
                <w:szCs w:val="24"/>
              </w:rPr>
              <w:t>）</w:t>
            </w:r>
          </w:p>
        </w:tc>
        <w:tc>
          <w:tcPr>
            <w:tcW w:w="2986" w:type="dxa"/>
            <w:tcBorders>
              <w:top w:val="single" w:color="000000" w:sz="4" w:space="0"/>
              <w:left w:val="single" w:color="000000" w:sz="4" w:space="0"/>
              <w:bottom w:val="single" w:color="000000" w:sz="4" w:space="0"/>
            </w:tcBorders>
            <w:vAlign w:val="center"/>
          </w:tcPr>
          <w:p>
            <w:pPr>
              <w:pStyle w:val="38"/>
              <w:rPr>
                <w:sz w:val="24"/>
                <w:szCs w:val="24"/>
              </w:rPr>
            </w:pPr>
            <w:r>
              <w:rPr>
                <w:rFonts w:hint="eastAsia"/>
                <w:sz w:val="24"/>
                <w:szCs w:val="24"/>
                <w:lang w:val="en-US" w:eastAsia="zh-CN"/>
              </w:rPr>
              <w:t>6322.91</w:t>
            </w:r>
            <w:r>
              <w:rPr>
                <w:sz w:val="24"/>
                <w:szCs w:val="24"/>
              </w:rPr>
              <w:t>m</w:t>
            </w:r>
            <w:r>
              <w:rPr>
                <w:sz w:val="24"/>
                <w:szCs w:val="24"/>
                <w:vertAlign w:val="superscript"/>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3290" w:type="dxa"/>
            <w:gridSpan w:val="3"/>
            <w:tcBorders>
              <w:top w:val="single" w:color="000000" w:sz="4" w:space="0"/>
              <w:bottom w:val="single" w:color="000000" w:sz="4" w:space="0"/>
              <w:right w:val="single" w:color="000000" w:sz="4" w:space="0"/>
            </w:tcBorders>
            <w:vAlign w:val="center"/>
          </w:tcPr>
          <w:p>
            <w:pPr>
              <w:pStyle w:val="38"/>
            </w:pPr>
            <w:r>
              <w:rPr>
                <w:b/>
                <w:bCs/>
                <w:sz w:val="28"/>
                <w:szCs w:val="28"/>
              </w:rPr>
              <w:t>专项评价设置情况</w:t>
            </w:r>
          </w:p>
        </w:tc>
        <w:tc>
          <w:tcPr>
            <w:tcW w:w="5781" w:type="dxa"/>
            <w:gridSpan w:val="3"/>
            <w:tcBorders>
              <w:top w:val="single" w:color="000000" w:sz="4" w:space="0"/>
              <w:left w:val="single" w:color="000000" w:sz="4" w:space="0"/>
              <w:bottom w:val="single" w:color="000000" w:sz="4" w:space="0"/>
            </w:tcBorders>
            <w:vAlign w:val="center"/>
          </w:tcPr>
          <w:p>
            <w:pPr>
              <w:ind w:firstLine="480"/>
              <w:jc w:val="center"/>
            </w:pPr>
            <w:r>
              <w:rPr>
                <w:rFonts w:hint="eastAsia"/>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3290" w:type="dxa"/>
            <w:gridSpan w:val="3"/>
            <w:tcBorders>
              <w:top w:val="single" w:color="000000" w:sz="4" w:space="0"/>
              <w:bottom w:val="single" w:color="000000" w:sz="4" w:space="0"/>
              <w:right w:val="single" w:color="000000" w:sz="4" w:space="0"/>
            </w:tcBorders>
            <w:vAlign w:val="center"/>
          </w:tcPr>
          <w:p>
            <w:pPr>
              <w:pStyle w:val="38"/>
              <w:rPr>
                <w:b/>
                <w:bCs/>
                <w:sz w:val="28"/>
                <w:szCs w:val="28"/>
              </w:rPr>
            </w:pPr>
            <w:r>
              <w:rPr>
                <w:b/>
                <w:bCs/>
                <w:sz w:val="28"/>
                <w:szCs w:val="28"/>
              </w:rPr>
              <w:t>规划情况</w:t>
            </w:r>
          </w:p>
        </w:tc>
        <w:tc>
          <w:tcPr>
            <w:tcW w:w="5781" w:type="dxa"/>
            <w:gridSpan w:val="3"/>
            <w:tcBorders>
              <w:top w:val="single" w:color="000000" w:sz="4" w:space="0"/>
              <w:left w:val="single" w:color="000000" w:sz="4" w:space="0"/>
              <w:bottom w:val="single" w:color="000000" w:sz="4" w:space="0"/>
            </w:tcBorders>
            <w:vAlign w:val="center"/>
          </w:tcPr>
          <w:p>
            <w:pPr>
              <w:pStyle w:val="30"/>
              <w:wordWrap/>
              <w:ind w:left="0" w:leftChars="0" w:firstLine="480"/>
              <w:jc w:val="center"/>
              <w:rPr>
                <w:rFonts w:hint="eastAsia" w:eastAsia="宋体"/>
                <w:sz w:val="21"/>
                <w:lang w:eastAsia="zh-CN"/>
              </w:rPr>
            </w:pPr>
            <w:r>
              <w:rPr>
                <w:rFonts w:hint="eastAsia"/>
                <w:lang w:val="en-US"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3290" w:type="dxa"/>
            <w:gridSpan w:val="3"/>
            <w:tcBorders>
              <w:top w:val="single" w:color="000000" w:sz="4" w:space="0"/>
              <w:bottom w:val="single" w:color="000000" w:sz="4" w:space="0"/>
              <w:right w:val="single" w:color="000000" w:sz="4" w:space="0"/>
            </w:tcBorders>
            <w:vAlign w:val="center"/>
          </w:tcPr>
          <w:p>
            <w:pPr>
              <w:pStyle w:val="38"/>
              <w:rPr>
                <w:b/>
                <w:bCs/>
                <w:sz w:val="28"/>
                <w:szCs w:val="28"/>
              </w:rPr>
            </w:pPr>
            <w:r>
              <w:rPr>
                <w:b/>
                <w:bCs/>
                <w:sz w:val="28"/>
                <w:szCs w:val="28"/>
              </w:rPr>
              <w:t>规划环境影响评价情况</w:t>
            </w:r>
          </w:p>
        </w:tc>
        <w:tc>
          <w:tcPr>
            <w:tcW w:w="5781" w:type="dxa"/>
            <w:gridSpan w:val="3"/>
            <w:tcBorders>
              <w:top w:val="single" w:color="000000" w:sz="4" w:space="0"/>
              <w:left w:val="single" w:color="000000" w:sz="4" w:space="0"/>
              <w:bottom w:val="single" w:color="000000" w:sz="4" w:space="0"/>
            </w:tcBorders>
            <w:vAlign w:val="center"/>
          </w:tcPr>
          <w:p>
            <w:pPr>
              <w:wordWrap/>
              <w:ind w:firstLine="480"/>
              <w:jc w:val="center"/>
              <w:rPr>
                <w:rFonts w:hint="eastAsia" w:eastAsia="宋体"/>
                <w:sz w:val="21"/>
                <w:lang w:eastAsia="zh-CN"/>
              </w:rPr>
            </w:pPr>
            <w:r>
              <w:rPr>
                <w:rFonts w:hint="eastAsia"/>
                <w:lang w:val="en-US"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3290" w:type="dxa"/>
            <w:gridSpan w:val="3"/>
            <w:tcBorders>
              <w:top w:val="single" w:color="000000" w:sz="4" w:space="0"/>
              <w:bottom w:val="single" w:color="000000" w:sz="4" w:space="0"/>
              <w:right w:val="single" w:color="000000" w:sz="4" w:space="0"/>
            </w:tcBorders>
            <w:vAlign w:val="center"/>
          </w:tcPr>
          <w:p>
            <w:pPr>
              <w:pStyle w:val="38"/>
              <w:jc w:val="center"/>
              <w:rPr>
                <w:b/>
                <w:bCs/>
                <w:szCs w:val="28"/>
              </w:rPr>
            </w:pPr>
            <w:r>
              <w:rPr>
                <w:b/>
                <w:bCs/>
                <w:sz w:val="28"/>
                <w:szCs w:val="28"/>
              </w:rPr>
              <w:t>规划及规划环境影响评价符合性分析</w:t>
            </w:r>
          </w:p>
        </w:tc>
        <w:tc>
          <w:tcPr>
            <w:tcW w:w="5781" w:type="dxa"/>
            <w:gridSpan w:val="3"/>
            <w:tcBorders>
              <w:top w:val="single" w:color="000000" w:sz="4" w:space="0"/>
              <w:left w:val="single" w:color="000000" w:sz="4" w:space="0"/>
              <w:bottom w:val="single" w:color="000000" w:sz="4" w:space="0"/>
            </w:tcBorders>
            <w:vAlign w:val="center"/>
          </w:tcPr>
          <w:p>
            <w:pPr>
              <w:wordWrap/>
              <w:ind w:firstLine="480"/>
              <w:jc w:val="center"/>
              <w:rPr>
                <w:rFonts w:hint="eastAsia" w:eastAsia="宋体"/>
                <w:lang w:eastAsia="zh-CN"/>
              </w:rPr>
            </w:pPr>
            <w:r>
              <w:rPr>
                <w:rFonts w:hint="eastAsia"/>
                <w:lang w:val="en-US"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62" w:hRule="atLeast"/>
          <w:jc w:val="center"/>
        </w:trPr>
        <w:tc>
          <w:tcPr>
            <w:tcW w:w="555" w:type="dxa"/>
            <w:tcBorders>
              <w:top w:val="single" w:color="000000" w:sz="4" w:space="0"/>
              <w:right w:val="single" w:color="000000" w:sz="4" w:space="0"/>
            </w:tcBorders>
            <w:vAlign w:val="center"/>
          </w:tcPr>
          <w:p>
            <w:pPr>
              <w:pStyle w:val="39"/>
            </w:pPr>
            <w:r>
              <w:rPr>
                <w:sz w:val="28"/>
                <w:szCs w:val="28"/>
              </w:rPr>
              <w:t>其他符合性分析</w:t>
            </w:r>
          </w:p>
        </w:tc>
        <w:tc>
          <w:tcPr>
            <w:tcW w:w="8516" w:type="dxa"/>
            <w:gridSpan w:val="5"/>
            <w:tcBorders>
              <w:top w:val="single" w:color="000000" w:sz="4" w:space="0"/>
              <w:left w:val="single" w:color="000000" w:sz="4" w:space="0"/>
            </w:tcBorders>
          </w:tcPr>
          <w:p>
            <w:pPr>
              <w:pStyle w:val="8"/>
              <w:bidi w:val="0"/>
              <w:ind w:left="0" w:leftChars="0" w:firstLine="0" w:firstLineChars="0"/>
              <w:jc w:val="both"/>
              <w:rPr>
                <w:b/>
                <w:bCs/>
              </w:rPr>
            </w:pPr>
            <w:r>
              <w:rPr>
                <w:rFonts w:hint="eastAsia"/>
                <w:b/>
                <w:bCs/>
                <w:lang w:val="en-US" w:eastAsia="zh-CN"/>
              </w:rPr>
              <w:t>1.1</w:t>
            </w:r>
            <w:r>
              <w:rPr>
                <w:b/>
                <w:bCs/>
              </w:rPr>
              <w:t>“三线一单”控制要求符合性分析</w:t>
            </w:r>
          </w:p>
          <w:p>
            <w:pPr>
              <w:pStyle w:val="39"/>
            </w:pPr>
            <w:r>
              <w:t>表</w:t>
            </w:r>
            <w:r>
              <w:rPr>
                <w:rFonts w:hint="eastAsia"/>
                <w:lang w:val="en-US"/>
              </w:rPr>
              <w:t>1</w:t>
            </w:r>
            <w:r>
              <w:rPr>
                <w:rFonts w:hint="eastAsia"/>
                <w:lang w:val="en-US" w:eastAsia="zh-CN"/>
              </w:rPr>
              <w:t>-1</w:t>
            </w:r>
            <w:r>
              <w:rPr>
                <w:rFonts w:hint="eastAsia"/>
                <w:lang w:val="en-US"/>
              </w:rPr>
              <w:t xml:space="preserve">   </w:t>
            </w:r>
            <w:r>
              <w:t>项目“三线一单”控制要求符合性向分析一览表</w:t>
            </w:r>
          </w:p>
          <w:tbl>
            <w:tblPr>
              <w:tblStyle w:val="31"/>
              <w:tblW w:w="8298" w:type="dxa"/>
              <w:jc w:val="center"/>
              <w:tblLayout w:type="fixed"/>
              <w:tblCellMar>
                <w:top w:w="0" w:type="dxa"/>
                <w:left w:w="108" w:type="dxa"/>
                <w:bottom w:w="0" w:type="dxa"/>
                <w:right w:w="108" w:type="dxa"/>
              </w:tblCellMar>
            </w:tblPr>
            <w:tblGrid>
              <w:gridCol w:w="1223"/>
              <w:gridCol w:w="5998"/>
              <w:gridCol w:w="1077"/>
            </w:tblGrid>
            <w:tr>
              <w:tblPrEx>
                <w:tblCellMar>
                  <w:top w:w="0" w:type="dxa"/>
                  <w:left w:w="108" w:type="dxa"/>
                  <w:bottom w:w="0" w:type="dxa"/>
                  <w:right w:w="108" w:type="dxa"/>
                </w:tblCellMar>
              </w:tblPrEx>
              <w:trPr>
                <w:trHeight w:val="436" w:hRule="atLeast"/>
                <w:jc w:val="center"/>
              </w:trPr>
              <w:tc>
                <w:tcPr>
                  <w:tcW w:w="736" w:type="pct"/>
                  <w:tcBorders>
                    <w:top w:val="single" w:color="000000" w:sz="4" w:space="0"/>
                    <w:left w:val="single" w:color="000000" w:sz="4" w:space="0"/>
                    <w:bottom w:val="single" w:color="000000" w:sz="4" w:space="0"/>
                    <w:right w:val="single" w:color="000000" w:sz="4" w:space="0"/>
                  </w:tcBorders>
                  <w:vAlign w:val="center"/>
                </w:tcPr>
                <w:p>
                  <w:pPr>
                    <w:pStyle w:val="38"/>
                    <w:rPr>
                      <w:u w:val="none"/>
                    </w:rPr>
                  </w:pPr>
                  <w:r>
                    <w:rPr>
                      <w:u w:val="none"/>
                    </w:rPr>
                    <w:t>内容</w:t>
                  </w:r>
                </w:p>
              </w:tc>
              <w:tc>
                <w:tcPr>
                  <w:tcW w:w="3614" w:type="pct"/>
                  <w:tcBorders>
                    <w:top w:val="single" w:color="000000" w:sz="4" w:space="0"/>
                    <w:left w:val="nil"/>
                    <w:bottom w:val="single" w:color="000000" w:sz="4" w:space="0"/>
                    <w:right w:val="single" w:color="000000" w:sz="4" w:space="0"/>
                  </w:tcBorders>
                  <w:vAlign w:val="center"/>
                </w:tcPr>
                <w:p>
                  <w:pPr>
                    <w:pStyle w:val="38"/>
                    <w:rPr>
                      <w:u w:val="none"/>
                    </w:rPr>
                  </w:pPr>
                  <w:r>
                    <w:rPr>
                      <w:u w:val="none"/>
                    </w:rPr>
                    <w:t>符合性分析</w:t>
                  </w:r>
                </w:p>
              </w:tc>
              <w:tc>
                <w:tcPr>
                  <w:tcW w:w="648" w:type="pct"/>
                  <w:tcBorders>
                    <w:top w:val="single" w:color="000000" w:sz="4" w:space="0"/>
                    <w:left w:val="nil"/>
                    <w:bottom w:val="single" w:color="000000" w:sz="4" w:space="0"/>
                    <w:right w:val="single" w:color="000000" w:sz="4" w:space="0"/>
                  </w:tcBorders>
                  <w:vAlign w:val="center"/>
                </w:tcPr>
                <w:p>
                  <w:pPr>
                    <w:pStyle w:val="38"/>
                    <w:rPr>
                      <w:u w:val="none"/>
                    </w:rPr>
                  </w:pPr>
                  <w:r>
                    <w:rPr>
                      <w:u w:val="none"/>
                    </w:rPr>
                    <w:t>结论</w:t>
                  </w:r>
                </w:p>
              </w:tc>
            </w:tr>
            <w:tr>
              <w:tblPrEx>
                <w:tblCellMar>
                  <w:top w:w="0" w:type="dxa"/>
                  <w:left w:w="108" w:type="dxa"/>
                  <w:bottom w:w="0" w:type="dxa"/>
                  <w:right w:w="108" w:type="dxa"/>
                </w:tblCellMar>
              </w:tblPrEx>
              <w:trPr>
                <w:trHeight w:val="473" w:hRule="atLeast"/>
                <w:jc w:val="center"/>
              </w:trPr>
              <w:tc>
                <w:tcPr>
                  <w:tcW w:w="736" w:type="pct"/>
                  <w:tcBorders>
                    <w:top w:val="single" w:color="000000" w:sz="4" w:space="0"/>
                    <w:left w:val="single" w:color="000000" w:sz="4" w:space="0"/>
                    <w:bottom w:val="single" w:color="000000" w:sz="4" w:space="0"/>
                    <w:right w:val="single" w:color="000000" w:sz="4" w:space="0"/>
                  </w:tcBorders>
                  <w:vAlign w:val="center"/>
                </w:tcPr>
                <w:p>
                  <w:pPr>
                    <w:pStyle w:val="38"/>
                    <w:rPr>
                      <w:u w:val="none"/>
                    </w:rPr>
                  </w:pPr>
                  <w:r>
                    <w:rPr>
                      <w:u w:val="none"/>
                    </w:rPr>
                    <w:t>生态保护红线</w:t>
                  </w:r>
                </w:p>
              </w:tc>
              <w:tc>
                <w:tcPr>
                  <w:tcW w:w="3614" w:type="pct"/>
                  <w:tcBorders>
                    <w:top w:val="single" w:color="000000" w:sz="4" w:space="0"/>
                    <w:left w:val="nil"/>
                    <w:bottom w:val="single" w:color="000000" w:sz="4" w:space="0"/>
                    <w:right w:val="single" w:color="000000" w:sz="4" w:space="0"/>
                  </w:tcBorders>
                  <w:vAlign w:val="center"/>
                </w:tcPr>
                <w:p>
                  <w:pPr>
                    <w:pStyle w:val="38"/>
                    <w:jc w:val="both"/>
                    <w:rPr>
                      <w:u w:val="none"/>
                    </w:rPr>
                  </w:pPr>
                  <w:r>
                    <w:rPr>
                      <w:u w:val="none"/>
                    </w:rPr>
                    <w:t>本项目所在地为</w:t>
                  </w:r>
                  <w:r>
                    <w:rPr>
                      <w:rFonts w:hint="eastAsia"/>
                      <w:u w:val="none"/>
                      <w:lang w:val="en-US" w:eastAsia="zh-CN"/>
                    </w:rPr>
                    <w:t>凤凰县沱江镇高峰村</w:t>
                  </w:r>
                  <w:r>
                    <w:rPr>
                      <w:u w:val="none"/>
                    </w:rPr>
                    <w:t>，不在当地饮用水水源地、风景名胜区、自然保护区等生态保护区内，</w:t>
                  </w:r>
                  <w:r>
                    <w:rPr>
                      <w:rFonts w:hint="eastAsia" w:ascii="Times New Roman" w:hAnsi="Times New Roman" w:cs="Times New Roman"/>
                      <w:lang w:val="en-US" w:eastAsia="zh-CN"/>
                    </w:rPr>
                    <w:t>项目建成后将收集居民、游客产生的生活垃圾，有利于对环境的保护，属于相关的必要公共设施建设项目，产生的生活废水经化粪池收集预处理后作为农肥，生产废水经垃圾渗滤液收集池收集后通过</w:t>
                  </w:r>
                  <w:r>
                    <w:rPr>
                      <w:rFonts w:hint="eastAsia" w:cs="Times New Roman"/>
                      <w:lang w:val="en-US" w:eastAsia="zh-CN"/>
                    </w:rPr>
                    <w:t>管道输送</w:t>
                  </w:r>
                  <w:r>
                    <w:rPr>
                      <w:rFonts w:hint="eastAsia" w:ascii="Times New Roman" w:hAnsi="Times New Roman" w:cs="Times New Roman"/>
                      <w:lang w:val="en-US" w:eastAsia="zh-CN"/>
                    </w:rPr>
                    <w:t>至</w:t>
                  </w:r>
                  <w:r>
                    <w:rPr>
                      <w:rFonts w:hint="eastAsia" w:cs="Times New Roman"/>
                      <w:lang w:val="en-US" w:eastAsia="zh-CN"/>
                    </w:rPr>
                    <w:t>凤凰县垃圾填埋场</w:t>
                  </w:r>
                  <w:r>
                    <w:rPr>
                      <w:rFonts w:hint="eastAsia" w:ascii="Times New Roman" w:hAnsi="Times New Roman" w:cs="Times New Roman"/>
                      <w:lang w:val="en-US" w:eastAsia="zh-CN"/>
                    </w:rPr>
                    <w:t>的</w:t>
                  </w:r>
                  <w:r>
                    <w:rPr>
                      <w:rFonts w:hint="eastAsia" w:cs="Times New Roman"/>
                      <w:lang w:val="en-US" w:eastAsia="zh-CN"/>
                    </w:rPr>
                    <w:t>渗滤液处理系统</w:t>
                  </w:r>
                  <w:r>
                    <w:rPr>
                      <w:rFonts w:hint="eastAsia" w:ascii="Times New Roman" w:hAnsi="Times New Roman" w:cs="Times New Roman"/>
                      <w:lang w:val="en-US" w:eastAsia="zh-CN"/>
                    </w:rPr>
                    <w:t>深度处理，一</w:t>
                  </w:r>
                  <w:r>
                    <w:rPr>
                      <w:rFonts w:hint="eastAsia" w:cs="Times New Roman"/>
                      <w:lang w:val="en-US" w:eastAsia="zh-CN"/>
                    </w:rPr>
                    <w:t>部分渗滤液进行</w:t>
                  </w:r>
                  <w:r>
                    <w:rPr>
                      <w:rFonts w:hint="eastAsia" w:ascii="Times New Roman" w:hAnsi="Times New Roman" w:cs="Times New Roman"/>
                      <w:lang w:val="en-US" w:eastAsia="zh-CN"/>
                    </w:rPr>
                    <w:t>回灌，</w:t>
                  </w:r>
                  <w:r>
                    <w:rPr>
                      <w:rFonts w:hint="eastAsia"/>
                      <w:lang w:eastAsia="zh-CN"/>
                    </w:rPr>
                    <w:t>一部分渗滤液处理后</w:t>
                  </w:r>
                  <w:r>
                    <w:rPr>
                      <w:rFonts w:hint="eastAsia"/>
                    </w:rPr>
                    <w:t>经专用管道排入风凰县污水处理厂集中处置</w:t>
                  </w:r>
                  <w:r>
                    <w:rPr>
                      <w:rFonts w:hint="eastAsia"/>
                      <w:lang w:eastAsia="zh-CN"/>
                    </w:rPr>
                    <w:t>；</w:t>
                  </w:r>
                  <w:r>
                    <w:rPr>
                      <w:rFonts w:hint="eastAsia" w:ascii="Times New Roman" w:hAnsi="Times New Roman" w:cs="Times New Roman"/>
                      <w:lang w:val="en-US" w:eastAsia="zh-CN"/>
                    </w:rPr>
                    <w:t>废气经</w:t>
                  </w:r>
                  <w:r>
                    <w:rPr>
                      <w:rFonts w:hint="eastAsia" w:cs="Times New Roman"/>
                      <w:lang w:val="en-US" w:eastAsia="zh-CN"/>
                    </w:rPr>
                    <w:t>高效生物吸附塔</w:t>
                  </w:r>
                  <w:r>
                    <w:rPr>
                      <w:rFonts w:hint="eastAsia" w:ascii="Times New Roman" w:hAnsi="Times New Roman" w:cs="Times New Roman"/>
                      <w:lang w:val="en-US" w:eastAsia="zh-CN"/>
                    </w:rPr>
                    <w:t>+15m排气筒处理达标后排放，对周边环境影响较小</w:t>
                  </w:r>
                  <w:r>
                    <w:rPr>
                      <w:u w:val="none"/>
                    </w:rPr>
                    <w:t>满足生态保护红线要求</w:t>
                  </w:r>
                </w:p>
              </w:tc>
              <w:tc>
                <w:tcPr>
                  <w:tcW w:w="648" w:type="pct"/>
                  <w:tcBorders>
                    <w:top w:val="single" w:color="000000" w:sz="4" w:space="0"/>
                    <w:left w:val="nil"/>
                    <w:bottom w:val="single" w:color="000000" w:sz="4" w:space="0"/>
                    <w:right w:val="single" w:color="000000" w:sz="4" w:space="0"/>
                  </w:tcBorders>
                  <w:vAlign w:val="center"/>
                </w:tcPr>
                <w:p>
                  <w:pPr>
                    <w:pStyle w:val="38"/>
                    <w:rPr>
                      <w:u w:val="none"/>
                    </w:rPr>
                  </w:pPr>
                  <w:r>
                    <w:rPr>
                      <w:u w:val="none"/>
                    </w:rPr>
                    <w:t>符合</w:t>
                  </w:r>
                </w:p>
              </w:tc>
            </w:tr>
            <w:tr>
              <w:tblPrEx>
                <w:tblCellMar>
                  <w:top w:w="0" w:type="dxa"/>
                  <w:left w:w="108" w:type="dxa"/>
                  <w:bottom w:w="0" w:type="dxa"/>
                  <w:right w:w="108" w:type="dxa"/>
                </w:tblCellMar>
              </w:tblPrEx>
              <w:trPr>
                <w:trHeight w:val="1398" w:hRule="atLeast"/>
                <w:jc w:val="center"/>
              </w:trPr>
              <w:tc>
                <w:tcPr>
                  <w:tcW w:w="736" w:type="pct"/>
                  <w:tcBorders>
                    <w:top w:val="single" w:color="000000" w:sz="4" w:space="0"/>
                    <w:left w:val="single" w:color="000000" w:sz="4" w:space="0"/>
                    <w:bottom w:val="single" w:color="000000" w:sz="4" w:space="0"/>
                    <w:right w:val="single" w:color="000000" w:sz="4" w:space="0"/>
                  </w:tcBorders>
                  <w:vAlign w:val="center"/>
                </w:tcPr>
                <w:p>
                  <w:pPr>
                    <w:pStyle w:val="38"/>
                    <w:rPr>
                      <w:u w:val="none"/>
                    </w:rPr>
                  </w:pPr>
                  <w:r>
                    <w:rPr>
                      <w:u w:val="none"/>
                    </w:rPr>
                    <w:t>资源利用上限</w:t>
                  </w:r>
                </w:p>
              </w:tc>
              <w:tc>
                <w:tcPr>
                  <w:tcW w:w="3614" w:type="pct"/>
                  <w:tcBorders>
                    <w:top w:val="single" w:color="000000" w:sz="4" w:space="0"/>
                    <w:left w:val="nil"/>
                    <w:bottom w:val="single" w:color="000000" w:sz="4" w:space="0"/>
                    <w:right w:val="single" w:color="000000" w:sz="4" w:space="0"/>
                  </w:tcBorders>
                  <w:vAlign w:val="center"/>
                </w:tcPr>
                <w:p>
                  <w:pPr>
                    <w:pStyle w:val="38"/>
                    <w:jc w:val="both"/>
                    <w:rPr>
                      <w:u w:val="none"/>
                    </w:rPr>
                  </w:pPr>
                  <w:r>
                    <w:rPr>
                      <w:u w:val="none"/>
                    </w:rPr>
                    <w:t>项目用水来自市政供水管网。本项目建成运行后，以“节能、降耗、减污”为目标，通过采取内部管理、设备选择、原辅材料的选用和管理、废物回收利用、污染治理等多方面合理可行的措施，可有效地控制污染。项目的资源利用不会突破区域的资源利用上线</w:t>
                  </w:r>
                </w:p>
              </w:tc>
              <w:tc>
                <w:tcPr>
                  <w:tcW w:w="648" w:type="pct"/>
                  <w:tcBorders>
                    <w:top w:val="single" w:color="000000" w:sz="4" w:space="0"/>
                    <w:left w:val="nil"/>
                    <w:bottom w:val="single" w:color="000000" w:sz="4" w:space="0"/>
                    <w:right w:val="single" w:color="000000" w:sz="4" w:space="0"/>
                  </w:tcBorders>
                  <w:vAlign w:val="center"/>
                </w:tcPr>
                <w:p>
                  <w:pPr>
                    <w:pStyle w:val="38"/>
                    <w:rPr>
                      <w:u w:val="none"/>
                    </w:rPr>
                  </w:pPr>
                  <w:r>
                    <w:rPr>
                      <w:u w:val="none"/>
                    </w:rPr>
                    <w:t>符合</w:t>
                  </w:r>
                </w:p>
              </w:tc>
            </w:tr>
            <w:tr>
              <w:tblPrEx>
                <w:tblCellMar>
                  <w:top w:w="0" w:type="dxa"/>
                  <w:left w:w="108" w:type="dxa"/>
                  <w:bottom w:w="0" w:type="dxa"/>
                  <w:right w:w="108" w:type="dxa"/>
                </w:tblCellMar>
              </w:tblPrEx>
              <w:trPr>
                <w:trHeight w:val="1127" w:hRule="atLeast"/>
                <w:jc w:val="center"/>
              </w:trPr>
              <w:tc>
                <w:tcPr>
                  <w:tcW w:w="736" w:type="pct"/>
                  <w:tcBorders>
                    <w:top w:val="single" w:color="000000" w:sz="4" w:space="0"/>
                    <w:left w:val="single" w:color="000000" w:sz="4" w:space="0"/>
                    <w:bottom w:val="single" w:color="000000" w:sz="4" w:space="0"/>
                    <w:right w:val="single" w:color="000000" w:sz="4" w:space="0"/>
                  </w:tcBorders>
                  <w:vAlign w:val="center"/>
                </w:tcPr>
                <w:p>
                  <w:pPr>
                    <w:pStyle w:val="38"/>
                    <w:rPr>
                      <w:u w:val="none"/>
                    </w:rPr>
                  </w:pPr>
                  <w:r>
                    <w:rPr>
                      <w:u w:val="none"/>
                    </w:rPr>
                    <w:t>环境质量底线</w:t>
                  </w:r>
                </w:p>
              </w:tc>
              <w:tc>
                <w:tcPr>
                  <w:tcW w:w="3614" w:type="pct"/>
                  <w:tcBorders>
                    <w:top w:val="single" w:color="000000" w:sz="4" w:space="0"/>
                    <w:left w:val="nil"/>
                    <w:bottom w:val="single" w:color="000000" w:sz="4" w:space="0"/>
                    <w:right w:val="single" w:color="000000" w:sz="4" w:space="0"/>
                  </w:tcBorders>
                  <w:vAlign w:val="center"/>
                </w:tcPr>
                <w:p>
                  <w:pPr>
                    <w:pStyle w:val="38"/>
                    <w:jc w:val="both"/>
                    <w:rPr>
                      <w:u w:val="none"/>
                    </w:rPr>
                  </w:pPr>
                  <w:r>
                    <w:rPr>
                      <w:u w:val="none"/>
                    </w:rPr>
                    <w:t>本项目周边声环境、水环境、环境空气质量均能达到相应的环境目标要求；根据环境影响分析，若能依照本环评要求的措施合理处置各项污染物，则本项目在建设阶段及生产运行阶段，各项污染物对周边的影响较小，不触及环境质量底线</w:t>
                  </w:r>
                </w:p>
              </w:tc>
              <w:tc>
                <w:tcPr>
                  <w:tcW w:w="648" w:type="pct"/>
                  <w:tcBorders>
                    <w:top w:val="single" w:color="000000" w:sz="4" w:space="0"/>
                    <w:left w:val="nil"/>
                    <w:bottom w:val="single" w:color="000000" w:sz="4" w:space="0"/>
                    <w:right w:val="single" w:color="000000" w:sz="4" w:space="0"/>
                  </w:tcBorders>
                  <w:vAlign w:val="center"/>
                </w:tcPr>
                <w:p>
                  <w:pPr>
                    <w:pStyle w:val="38"/>
                    <w:rPr>
                      <w:u w:val="none"/>
                    </w:rPr>
                  </w:pPr>
                  <w:r>
                    <w:rPr>
                      <w:u w:val="none"/>
                    </w:rPr>
                    <w:t>符合</w:t>
                  </w:r>
                </w:p>
              </w:tc>
            </w:tr>
            <w:tr>
              <w:tblPrEx>
                <w:tblCellMar>
                  <w:top w:w="0" w:type="dxa"/>
                  <w:left w:w="108" w:type="dxa"/>
                  <w:bottom w:w="0" w:type="dxa"/>
                  <w:right w:w="108" w:type="dxa"/>
                </w:tblCellMar>
              </w:tblPrEx>
              <w:trPr>
                <w:trHeight w:val="895" w:hRule="atLeast"/>
                <w:jc w:val="center"/>
              </w:trPr>
              <w:tc>
                <w:tcPr>
                  <w:tcW w:w="736" w:type="pct"/>
                  <w:tcBorders>
                    <w:top w:val="single" w:color="000000" w:sz="4" w:space="0"/>
                    <w:left w:val="single" w:color="000000" w:sz="4" w:space="0"/>
                    <w:bottom w:val="single" w:color="000000" w:sz="4" w:space="0"/>
                    <w:right w:val="single" w:color="000000" w:sz="4" w:space="0"/>
                  </w:tcBorders>
                  <w:vAlign w:val="center"/>
                </w:tcPr>
                <w:p>
                  <w:pPr>
                    <w:pStyle w:val="38"/>
                    <w:rPr>
                      <w:u w:val="none"/>
                    </w:rPr>
                  </w:pPr>
                  <w:r>
                    <w:rPr>
                      <w:u w:val="none"/>
                    </w:rPr>
                    <w:t>负面清单</w:t>
                  </w:r>
                </w:p>
              </w:tc>
              <w:tc>
                <w:tcPr>
                  <w:tcW w:w="3614" w:type="pct"/>
                  <w:tcBorders>
                    <w:top w:val="single" w:color="000000" w:sz="4" w:space="0"/>
                    <w:left w:val="nil"/>
                    <w:bottom w:val="single" w:color="000000" w:sz="4" w:space="0"/>
                    <w:right w:val="single" w:color="000000" w:sz="4" w:space="0"/>
                  </w:tcBorders>
                  <w:vAlign w:val="center"/>
                </w:tcPr>
                <w:p>
                  <w:pPr>
                    <w:pStyle w:val="38"/>
                    <w:jc w:val="both"/>
                    <w:rPr>
                      <w:u w:val="none"/>
                    </w:rPr>
                  </w:pPr>
                  <w:r>
                    <w:rPr>
                      <w:rFonts w:hint="default" w:ascii="Times New Roman" w:hAnsi="Times New Roman" w:cs="Times New Roman"/>
                      <w:u w:val="none"/>
                    </w:rPr>
                    <w:t>本项目</w:t>
                  </w:r>
                  <w:r>
                    <w:rPr>
                      <w:rFonts w:hint="eastAsia" w:cs="Times New Roman"/>
                      <w:u w:val="none"/>
                      <w:lang w:eastAsia="zh-CN"/>
                    </w:rPr>
                    <w:t>不在《湖南省国家重点生态功能区产业准入负面清单（试行）</w:t>
                  </w:r>
                  <w:r>
                    <w:rPr>
                      <w:rFonts w:hint="eastAsia" w:cs="Times New Roman"/>
                      <w:u w:val="none"/>
                      <w:lang w:val="en-US" w:eastAsia="zh-CN"/>
                    </w:rPr>
                    <w:t>-凤凰县产业准入负面清单</w:t>
                  </w:r>
                  <w:r>
                    <w:rPr>
                      <w:rFonts w:hint="eastAsia" w:cs="Times New Roman"/>
                      <w:u w:val="none"/>
                      <w:lang w:eastAsia="zh-CN"/>
                    </w:rPr>
                    <w:t>》内，</w:t>
                  </w:r>
                  <w:r>
                    <w:rPr>
                      <w:rFonts w:hint="default" w:ascii="Times New Roman" w:hAnsi="Times New Roman" w:cs="Times New Roman"/>
                      <w:u w:val="none"/>
                    </w:rPr>
                    <w:t>符合产业政策的规划</w:t>
                  </w:r>
                </w:p>
              </w:tc>
              <w:tc>
                <w:tcPr>
                  <w:tcW w:w="648" w:type="pct"/>
                  <w:tcBorders>
                    <w:top w:val="single" w:color="000000" w:sz="4" w:space="0"/>
                    <w:left w:val="nil"/>
                    <w:bottom w:val="single" w:color="000000" w:sz="4" w:space="0"/>
                    <w:right w:val="single" w:color="000000" w:sz="4" w:space="0"/>
                  </w:tcBorders>
                  <w:vAlign w:val="center"/>
                </w:tcPr>
                <w:p>
                  <w:pPr>
                    <w:pStyle w:val="38"/>
                    <w:rPr>
                      <w:u w:val="none"/>
                    </w:rPr>
                  </w:pPr>
                  <w:r>
                    <w:rPr>
                      <w:u w:val="none"/>
                    </w:rPr>
                    <w:t>不在负面清单范围内</w:t>
                  </w:r>
                </w:p>
              </w:tc>
            </w:tr>
          </w:tbl>
          <w:p>
            <w:pPr>
              <w:pStyle w:val="8"/>
              <w:bidi w:val="0"/>
              <w:ind w:left="0" w:leftChars="0" w:firstLine="0" w:firstLineChars="0"/>
              <w:jc w:val="both"/>
              <w:rPr>
                <w:rFonts w:ascii="Times New Roman" w:hAnsi="Times New Roman"/>
                <w:b/>
                <w:bCs/>
                <w:sz w:val="32"/>
                <w:szCs w:val="32"/>
              </w:rPr>
            </w:pPr>
            <w:r>
              <w:rPr>
                <w:rFonts w:hint="eastAsia"/>
                <w:b/>
                <w:bCs/>
                <w:sz w:val="32"/>
                <w:szCs w:val="32"/>
                <w:lang w:val="en-US" w:eastAsia="zh-CN"/>
              </w:rPr>
              <w:t>1.2</w:t>
            </w:r>
            <w:r>
              <w:rPr>
                <w:rFonts w:ascii="Times New Roman" w:hAnsi="Times New Roman"/>
                <w:b/>
                <w:bCs/>
                <w:sz w:val="32"/>
                <w:szCs w:val="32"/>
              </w:rPr>
              <w:t>与产业政策符合性分析</w:t>
            </w:r>
          </w:p>
          <w:p>
            <w:pPr>
              <w:pStyle w:val="8"/>
              <w:rPr>
                <w:rFonts w:hint="eastAsia"/>
                <w:lang w:val="en-US" w:eastAsia="zh-CN"/>
              </w:rPr>
            </w:pPr>
            <w:r>
              <w:rPr>
                <w:rFonts w:ascii="Times New Roman" w:hAnsi="Times New Roman"/>
                <w:color w:val="000000"/>
                <w:sz w:val="24"/>
              </w:rPr>
              <w:t>根据</w:t>
            </w:r>
            <w:r>
              <w:rPr>
                <w:rFonts w:hint="eastAsia" w:ascii="Times New Roman" w:hAnsi="Times New Roman"/>
                <w:color w:val="000000"/>
                <w:sz w:val="24"/>
              </w:rPr>
              <w:t>《产业结构调整指导目录》（2019年本）</w:t>
            </w:r>
            <w:r>
              <w:rPr>
                <w:rFonts w:ascii="Times New Roman" w:hAnsi="Times New Roman"/>
                <w:color w:val="000000"/>
                <w:sz w:val="24"/>
              </w:rPr>
              <w:t>，本项目属于“鼓励类”的“三十八、环境保护与资源节约综合利用”之列中的“20、城镇垃圾及其他固体废弃物减量化、资源化、无害化处理和综合利用工程”，本项目的建设与国家产业政策是相容的。因此，本项目建设符合国家产业政策的有关规定。</w:t>
            </w:r>
          </w:p>
          <w:p>
            <w:pPr>
              <w:pStyle w:val="8"/>
              <w:bidi w:val="0"/>
              <w:ind w:left="0" w:leftChars="0" w:firstLine="0" w:firstLineChars="0"/>
              <w:jc w:val="both"/>
              <w:rPr>
                <w:rFonts w:hint="eastAsia" w:ascii="Times New Roman" w:hAnsi="Times New Roman" w:eastAsia="宋体" w:cs="Times New Roman"/>
                <w:b/>
                <w:bCs/>
                <w:u w:val="none"/>
                <w:lang w:eastAsia="zh-CN"/>
              </w:rPr>
            </w:pPr>
            <w:r>
              <w:rPr>
                <w:rFonts w:hint="eastAsia" w:ascii="Times New Roman" w:hAnsi="Times New Roman"/>
                <w:b/>
                <w:bCs/>
                <w:sz w:val="32"/>
                <w:szCs w:val="32"/>
                <w:u w:val="none"/>
                <w:lang w:val="en-US" w:eastAsia="zh-CN"/>
              </w:rPr>
              <w:t>1.3</w:t>
            </w:r>
            <w:r>
              <w:rPr>
                <w:rFonts w:hint="eastAsia"/>
                <w:b/>
                <w:bCs/>
                <w:sz w:val="32"/>
                <w:szCs w:val="32"/>
                <w:u w:val="none"/>
                <w:lang w:val="en-US" w:eastAsia="zh-CN"/>
              </w:rPr>
              <w:t>与</w:t>
            </w:r>
            <w:r>
              <w:rPr>
                <w:rFonts w:hint="eastAsia" w:ascii="Times New Roman" w:hAnsi="Times New Roman" w:eastAsia="宋体" w:cs="Times New Roman"/>
                <w:b/>
                <w:bCs/>
                <w:u w:val="none"/>
                <w:lang w:eastAsia="zh-CN"/>
              </w:rPr>
              <w:t>《</w:t>
            </w:r>
            <w:r>
              <w:rPr>
                <w:rFonts w:hint="eastAsia" w:ascii="Times New Roman" w:hAnsi="Times New Roman" w:eastAsia="宋体" w:cs="Times New Roman"/>
                <w:b/>
                <w:bCs/>
                <w:sz w:val="30"/>
                <w:szCs w:val="30"/>
                <w:u w:val="none"/>
                <w:lang w:eastAsia="zh-CN"/>
              </w:rPr>
              <w:t>湖南省“十四五”生态环境保护规划》的通知湘政办发〔2021〕61号</w:t>
            </w:r>
            <w:r>
              <w:rPr>
                <w:rFonts w:hint="eastAsia" w:cs="Times New Roman"/>
                <w:b/>
                <w:bCs/>
                <w:sz w:val="30"/>
                <w:szCs w:val="30"/>
                <w:u w:val="none"/>
                <w:lang w:eastAsia="zh-CN"/>
              </w:rPr>
              <w:t>的符合性分析</w:t>
            </w:r>
          </w:p>
          <w:p>
            <w:pPr>
              <w:bidi w:val="0"/>
              <w:rPr>
                <w:rFonts w:hint="eastAsia"/>
              </w:rPr>
            </w:pPr>
            <w:r>
              <w:rPr>
                <w:rFonts w:hint="eastAsia"/>
                <w:lang w:eastAsia="zh-CN"/>
              </w:rPr>
              <w:t>根据《湖南省“十四五”生态环境保护规划》中针对城乡垃圾管理，新十四五规划将</w:t>
            </w:r>
            <w:r>
              <w:rPr>
                <w:rFonts w:hint="eastAsia"/>
              </w:rPr>
              <w:t>推进农村生活垃圾处理</w:t>
            </w:r>
            <w:r>
              <w:rPr>
                <w:rFonts w:hint="eastAsia"/>
                <w:lang w:eastAsia="zh-CN"/>
              </w:rPr>
              <w:t>，</w:t>
            </w:r>
            <w:r>
              <w:rPr>
                <w:rFonts w:hint="eastAsia"/>
              </w:rPr>
              <w:t>实现农村生活垃圾收转运设施基本覆盖并稳定运行</w:t>
            </w:r>
            <w:r>
              <w:rPr>
                <w:rFonts w:hint="eastAsia"/>
                <w:lang w:eastAsia="zh-CN"/>
              </w:rPr>
              <w:t>，</w:t>
            </w:r>
            <w:r>
              <w:rPr>
                <w:rFonts w:hint="eastAsia"/>
              </w:rPr>
              <w:t>城市生活垃圾日清运量超过</w:t>
            </w:r>
            <w:r>
              <w:rPr>
                <w:rFonts w:hint="default"/>
              </w:rPr>
              <w:t>300</w:t>
            </w:r>
            <w:r>
              <w:rPr>
                <w:rFonts w:hint="eastAsia"/>
              </w:rPr>
              <w:t>吨地区基本实现原生垃圾零填埋，全面提高生活垃圾减量化、资源化和无害化水平。</w:t>
            </w:r>
          </w:p>
          <w:p>
            <w:pPr>
              <w:bidi w:val="0"/>
              <w:rPr>
                <w:rFonts w:hint="eastAsia" w:eastAsia="宋体"/>
                <w:lang w:val="en-US" w:eastAsia="zh-CN"/>
              </w:rPr>
            </w:pPr>
            <w:r>
              <w:rPr>
                <w:rFonts w:hint="eastAsia"/>
                <w:lang w:eastAsia="zh-CN"/>
              </w:rPr>
              <w:t>本项目收运范围包括凤凰县沱江镇、水打田乡、林峰乡、廖家桥镇、阿拉营镇、新场镇、落潮井镇、茶田镇、千工坪镇、山江镇、麻冲乡这</w:t>
            </w:r>
            <w:r>
              <w:rPr>
                <w:rFonts w:hint="eastAsia"/>
                <w:lang w:val="en-US" w:eastAsia="zh-CN"/>
              </w:rPr>
              <w:t>11个</w:t>
            </w:r>
            <w:r>
              <w:rPr>
                <w:rFonts w:hint="eastAsia"/>
                <w:lang w:eastAsia="zh-CN"/>
              </w:rPr>
              <w:t>乡镇，实现</w:t>
            </w:r>
            <w:r>
              <w:rPr>
                <w:rFonts w:hint="eastAsia"/>
              </w:rPr>
              <w:t>农村生活垃圾收转运设施基本覆盖并稳定运行</w:t>
            </w:r>
            <w:r>
              <w:rPr>
                <w:rFonts w:hint="eastAsia"/>
                <w:lang w:eastAsia="zh-CN"/>
              </w:rPr>
              <w:t>，设计垃圾日清运量</w:t>
            </w:r>
            <w:r>
              <w:rPr>
                <w:rFonts w:hint="eastAsia"/>
                <w:lang w:val="en-US" w:eastAsia="zh-CN"/>
              </w:rPr>
              <w:t>400吨，垃圾收运至本项目所在地压缩后统一运往吉首市垃圾焚烧发电厂进行处理，实现</w:t>
            </w:r>
            <w:r>
              <w:rPr>
                <w:rFonts w:hint="eastAsia"/>
              </w:rPr>
              <w:t>原生垃圾零填埋，全面提高生活垃圾减量化、资源化和无害化水平</w:t>
            </w:r>
            <w:r>
              <w:rPr>
                <w:rFonts w:hint="eastAsia"/>
                <w:lang w:eastAsia="zh-CN"/>
              </w:rPr>
              <w:t>。符合《湖南省“十四五”生态环境保护规划》中规定的要求。</w:t>
            </w:r>
          </w:p>
          <w:p>
            <w:pPr>
              <w:pStyle w:val="12"/>
              <w:ind w:left="0" w:leftChars="0" w:firstLine="0" w:firstLineChars="0"/>
              <w:rPr>
                <w:rFonts w:hint="default" w:ascii="Times New Roman" w:hAnsi="Times New Roman" w:eastAsia="宋体" w:cs="宋体"/>
                <w:b/>
                <w:bCs/>
                <w:sz w:val="30"/>
                <w:szCs w:val="30"/>
                <w:lang w:val="en-US" w:eastAsia="zh-CN" w:bidi="zh-CN"/>
              </w:rPr>
            </w:pPr>
            <w:r>
              <w:rPr>
                <w:rFonts w:hint="eastAsia" w:ascii="Times New Roman" w:hAnsi="Times New Roman" w:eastAsia="宋体" w:cs="宋体"/>
                <w:b/>
                <w:bCs/>
                <w:sz w:val="30"/>
                <w:szCs w:val="30"/>
                <w:lang w:val="en-US" w:eastAsia="zh-CN" w:bidi="zh-CN"/>
              </w:rPr>
              <w:t>1.4与《中华人民共和国固体废物污染环境防治法》（2020年4月修订）</w:t>
            </w:r>
          </w:p>
          <w:p>
            <w:pPr>
              <w:bidi w:val="0"/>
              <w:rPr>
                <w:rFonts w:hint="default"/>
              </w:rPr>
            </w:pPr>
            <w:r>
              <w:rPr>
                <w:rFonts w:hint="eastAsia"/>
                <w:lang w:eastAsia="zh-CN"/>
              </w:rPr>
              <w:t>根据最新修订的</w:t>
            </w:r>
            <w:r>
              <w:rPr>
                <w:rFonts w:hint="eastAsia"/>
                <w:lang w:val="en-US" w:eastAsia="zh-CN"/>
              </w:rPr>
              <w:t>《中华人民共和国固体废物污染环境防治法》中生活垃圾管理要求，</w:t>
            </w:r>
            <w:r>
              <w:t>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r>
              <w:rPr>
                <w:rFonts w:hint="default"/>
              </w:rPr>
              <w:t>清扫、收集、运输、处理城乡生活垃圾，应当遵守国家有关环境保护和环境卫生管理的规定，防止污染环境。从生活垃圾中分类并集中收集的有害垃圾，属于危险废物的，应当按照危险废物管理。</w:t>
            </w:r>
          </w:p>
          <w:p>
            <w:pPr>
              <w:bidi w:val="0"/>
              <w:rPr>
                <w:rFonts w:hint="eastAsia"/>
                <w:lang w:eastAsia="zh-CN"/>
              </w:rPr>
            </w:pPr>
            <w:r>
              <w:rPr>
                <w:rFonts w:hint="eastAsia"/>
                <w:lang w:eastAsia="zh-CN"/>
              </w:rPr>
              <w:t>本项目可行性研究已获得凤凰县发展和改革局批复，项目建成后将逐步完善凤凰县区域内生活垃圾污染防治的社会服务体系，根据后文对垃圾转运站技术、环境卫生设施等符合性分析，本项目对环境污染较小，且本项目收运垃圾为生活垃圾，不包括危险废物，故不涉及危险废物的管理条例。</w:t>
            </w:r>
          </w:p>
          <w:p>
            <w:pPr>
              <w:pStyle w:val="8"/>
              <w:bidi w:val="0"/>
              <w:ind w:left="0" w:leftChars="0" w:firstLine="0" w:firstLineChars="0"/>
              <w:jc w:val="both"/>
              <w:rPr>
                <w:rFonts w:hint="eastAsia" w:ascii="Times New Roman" w:hAnsi="Times New Roman"/>
                <w:b/>
                <w:bCs/>
                <w:sz w:val="32"/>
                <w:szCs w:val="32"/>
                <w:lang w:val="en-US" w:eastAsia="zh-CN"/>
              </w:rPr>
            </w:pPr>
            <w:r>
              <w:rPr>
                <w:rFonts w:hint="eastAsia" w:cs="Times New Roman"/>
                <w:b/>
                <w:bCs/>
                <w:u w:val="none"/>
                <w:lang w:val="en-US" w:eastAsia="zh-CN"/>
              </w:rPr>
              <w:t>1.5</w:t>
            </w:r>
            <w:r>
              <w:rPr>
                <w:rFonts w:hint="eastAsia" w:ascii="Times New Roman" w:hAnsi="Times New Roman"/>
                <w:b/>
                <w:bCs/>
                <w:sz w:val="32"/>
                <w:szCs w:val="32"/>
                <w:u w:val="none"/>
                <w:lang w:val="en-US" w:eastAsia="zh-CN"/>
              </w:rPr>
              <w:t>与</w:t>
            </w:r>
            <w:r>
              <w:rPr>
                <w:rFonts w:hint="eastAsia" w:ascii="Times New Roman" w:hAnsi="Times New Roman"/>
                <w:b/>
                <w:bCs/>
                <w:sz w:val="32"/>
                <w:szCs w:val="32"/>
                <w:lang w:val="en-US" w:eastAsia="zh-CN"/>
              </w:rPr>
              <w:t>《“十三五”全国城镇生活垃圾无害化处理设施建设规划》（发改环资[2016] 2851 号）的符合性分析</w:t>
            </w:r>
          </w:p>
          <w:p>
            <w:pPr>
              <w:spacing w:line="360" w:lineRule="auto"/>
              <w:ind w:firstLine="480" w:firstLineChars="200"/>
              <w:rPr>
                <w:rFonts w:ascii="Times New Roman" w:hAnsi="Times New Roman"/>
                <w:bCs/>
                <w:sz w:val="24"/>
              </w:rPr>
            </w:pPr>
            <w:r>
              <w:rPr>
                <w:rFonts w:ascii="Times New Roman" w:hAnsi="Times New Roman"/>
                <w:bCs/>
                <w:sz w:val="24"/>
              </w:rPr>
              <w:t>根据《</w:t>
            </w:r>
            <w:r>
              <w:rPr>
                <w:rFonts w:hint="eastAsia"/>
                <w:bCs/>
                <w:sz w:val="24"/>
                <w:lang w:eastAsia="zh-CN"/>
              </w:rPr>
              <w:t>“</w:t>
            </w:r>
            <w:r>
              <w:rPr>
                <w:rFonts w:ascii="Times New Roman" w:hAnsi="Times New Roman"/>
                <w:bCs/>
                <w:sz w:val="24"/>
              </w:rPr>
              <w:t>十三五</w:t>
            </w:r>
            <w:r>
              <w:rPr>
                <w:rFonts w:hint="eastAsia"/>
                <w:bCs/>
                <w:sz w:val="24"/>
                <w:lang w:eastAsia="zh-CN"/>
              </w:rPr>
              <w:t>”</w:t>
            </w:r>
            <w:r>
              <w:rPr>
                <w:rFonts w:ascii="Times New Roman" w:hAnsi="Times New Roman"/>
                <w:bCs/>
                <w:sz w:val="24"/>
              </w:rPr>
              <w:t>全国城镇生活垃圾无害化处理设施建设规划》（发改环资[2016]2851号）中对垃圾转运站的要求：</w:t>
            </w:r>
            <w:r>
              <w:rPr>
                <w:rFonts w:hint="eastAsia"/>
                <w:bCs/>
                <w:sz w:val="24"/>
                <w:lang w:eastAsia="zh-CN"/>
              </w:rPr>
              <w:t>“</w:t>
            </w:r>
            <w:r>
              <w:rPr>
                <w:rFonts w:ascii="Times New Roman" w:hAnsi="Times New Roman"/>
                <w:bCs/>
                <w:sz w:val="24"/>
              </w:rPr>
              <w:t>统筹布局生活垃圾转运站，淘汰敞开式收运设施，减少生活垃圾收运过程中的二次污染。加强生活垃圾转运站升级改造，在城市建成区推广密闭压缩式收运方式，大中型城市要在“十三五”期间全部实现密闭化收运。</w:t>
            </w:r>
            <w:r>
              <w:rPr>
                <w:rFonts w:hint="eastAsia"/>
                <w:bCs/>
                <w:sz w:val="24"/>
                <w:lang w:eastAsia="zh-CN"/>
              </w:rPr>
              <w:t>”</w:t>
            </w:r>
          </w:p>
          <w:p>
            <w:pPr>
              <w:pStyle w:val="8"/>
              <w:rPr>
                <w:rFonts w:ascii="Times New Roman" w:hAnsi="Times New Roman"/>
                <w:bCs/>
                <w:sz w:val="24"/>
              </w:rPr>
            </w:pPr>
            <w:r>
              <w:rPr>
                <w:rFonts w:ascii="Times New Roman" w:hAnsi="Times New Roman"/>
                <w:bCs/>
                <w:sz w:val="24"/>
              </w:rPr>
              <w:t>本项目压缩机房采取密闭压缩式收运方式，符合《</w:t>
            </w:r>
            <w:r>
              <w:rPr>
                <w:rFonts w:hint="eastAsia"/>
                <w:bCs/>
                <w:sz w:val="24"/>
                <w:lang w:eastAsia="zh-CN"/>
              </w:rPr>
              <w:t>“</w:t>
            </w:r>
            <w:r>
              <w:rPr>
                <w:rFonts w:ascii="Times New Roman" w:hAnsi="Times New Roman"/>
                <w:bCs/>
                <w:sz w:val="24"/>
              </w:rPr>
              <w:t>十三五</w:t>
            </w:r>
            <w:r>
              <w:rPr>
                <w:rFonts w:hint="eastAsia"/>
                <w:bCs/>
                <w:sz w:val="24"/>
                <w:lang w:eastAsia="zh-CN"/>
              </w:rPr>
              <w:t>”</w:t>
            </w:r>
            <w:r>
              <w:rPr>
                <w:rFonts w:ascii="Times New Roman" w:hAnsi="Times New Roman"/>
                <w:bCs/>
                <w:sz w:val="24"/>
              </w:rPr>
              <w:t>全国城镇生活垃圾无害化处理设施建设规划》（发改环资[2016]2851号）中规定的要求。</w:t>
            </w:r>
          </w:p>
          <w:p>
            <w:pPr>
              <w:pStyle w:val="8"/>
              <w:bidi w:val="0"/>
              <w:ind w:left="0" w:leftChars="0" w:firstLine="0" w:firstLineChars="0"/>
              <w:rPr>
                <w:b/>
                <w:bCs/>
                <w:sz w:val="32"/>
                <w:szCs w:val="32"/>
              </w:rPr>
            </w:pPr>
            <w:r>
              <w:rPr>
                <w:rFonts w:hint="eastAsia"/>
                <w:b/>
                <w:bCs/>
                <w:sz w:val="32"/>
                <w:szCs w:val="32"/>
                <w:lang w:val="en-US" w:eastAsia="zh-CN"/>
              </w:rPr>
              <w:t>1.6</w:t>
            </w:r>
            <w:r>
              <w:rPr>
                <w:b/>
                <w:bCs/>
                <w:sz w:val="32"/>
                <w:szCs w:val="32"/>
              </w:rPr>
              <w:t>与《生活垃圾转运站技术规范》（CJJ/T47-2016）的符合性分析</w:t>
            </w:r>
          </w:p>
          <w:p>
            <w:pPr>
              <w:adjustRightInd w:val="0"/>
              <w:snapToGrid w:val="0"/>
              <w:spacing w:line="360" w:lineRule="auto"/>
              <w:jc w:val="both"/>
              <w:rPr>
                <w:rFonts w:ascii="Times New Roman" w:hAnsi="Times New Roman"/>
                <w:sz w:val="24"/>
              </w:rPr>
            </w:pPr>
            <w:r>
              <w:rPr>
                <w:rFonts w:ascii="Times New Roman" w:hAnsi="Times New Roman"/>
                <w:sz w:val="24"/>
              </w:rPr>
              <w:t>根据《生活垃圾转运站技术规范》（GJJ/T47-2016）规定生活垃圾转运站的设计日转运垃圾能力，可按其规模划分为大、中、小型及I、II、III、IV、V五小类，不同规模转运站的用地指标应符合下表的规定。</w:t>
            </w:r>
          </w:p>
          <w:p>
            <w:pPr>
              <w:adjustRightInd w:val="0"/>
              <w:snapToGrid w:val="0"/>
              <w:spacing w:line="360" w:lineRule="auto"/>
              <w:jc w:val="center"/>
              <w:rPr>
                <w:rFonts w:ascii="Times New Roman" w:hAnsi="Times New Roman"/>
                <w:b/>
                <w:bCs/>
              </w:rPr>
            </w:pPr>
            <w:r>
              <w:rPr>
                <w:rFonts w:ascii="Times New Roman" w:hAnsi="Times New Roman"/>
                <w:b/>
                <w:bCs/>
              </w:rPr>
              <w:t>表</w:t>
            </w:r>
            <w:r>
              <w:rPr>
                <w:rFonts w:hint="eastAsia"/>
                <w:b/>
                <w:bCs/>
                <w:lang w:val="en-US" w:eastAsia="zh-CN"/>
              </w:rPr>
              <w:t>1-2</w:t>
            </w:r>
            <w:r>
              <w:rPr>
                <w:rFonts w:ascii="Times New Roman" w:hAnsi="Times New Roman"/>
                <w:b/>
                <w:bCs/>
              </w:rPr>
              <w:t xml:space="preserve">  转运站主要用地指标</w:t>
            </w:r>
          </w:p>
          <w:tbl>
            <w:tblPr>
              <w:tblStyle w:val="31"/>
              <w:tblpPr w:leftFromText="180" w:rightFromText="180" w:vertAnchor="text" w:horzAnchor="page" w:tblpX="572" w:tblpY="3"/>
              <w:tblOverlap w:val="never"/>
              <w:tblW w:w="493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76"/>
              <w:gridCol w:w="581"/>
              <w:gridCol w:w="1759"/>
              <w:gridCol w:w="1638"/>
              <w:gridCol w:w="2143"/>
              <w:gridCol w:w="17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630" w:type="pct"/>
                  <w:gridSpan w:val="2"/>
                  <w:noWrap w:val="0"/>
                  <w:vAlign w:val="center"/>
                </w:tcPr>
                <w:p>
                  <w:pPr>
                    <w:pStyle w:val="38"/>
                    <w:bidi w:val="0"/>
                  </w:pPr>
                </w:p>
                <w:p/>
              </w:tc>
              <w:tc>
                <w:tcPr>
                  <w:tcW w:w="1049" w:type="pct"/>
                  <w:noWrap w:val="0"/>
                  <w:vAlign w:val="center"/>
                </w:tcPr>
                <w:p>
                  <w:pPr>
                    <w:pStyle w:val="38"/>
                    <w:bidi w:val="0"/>
                  </w:pPr>
                  <w:r>
                    <w:t>设计转运量（t/d）</w:t>
                  </w:r>
                </w:p>
              </w:tc>
              <w:tc>
                <w:tcPr>
                  <w:tcW w:w="977" w:type="pct"/>
                  <w:noWrap w:val="0"/>
                  <w:vAlign w:val="center"/>
                </w:tcPr>
                <w:p>
                  <w:pPr>
                    <w:pStyle w:val="38"/>
                    <w:bidi w:val="0"/>
                  </w:pPr>
                  <w:r>
                    <w:t>用地面积（m</w:t>
                  </w:r>
                  <w:r>
                    <w:rPr>
                      <w:vertAlign w:val="superscript"/>
                    </w:rPr>
                    <w:t>2</w:t>
                  </w:r>
                  <w:r>
                    <w:t>）</w:t>
                  </w:r>
                </w:p>
              </w:tc>
              <w:tc>
                <w:tcPr>
                  <w:tcW w:w="1278" w:type="pct"/>
                  <w:noWrap w:val="0"/>
                  <w:vAlign w:val="center"/>
                </w:tcPr>
                <w:p>
                  <w:pPr>
                    <w:pStyle w:val="38"/>
                    <w:bidi w:val="0"/>
                  </w:pPr>
                  <w:r>
                    <w:t>与相邻建筑物间距（m）</w:t>
                  </w:r>
                </w:p>
              </w:tc>
              <w:tc>
                <w:tcPr>
                  <w:tcW w:w="1062" w:type="pct"/>
                  <w:noWrap w:val="0"/>
                  <w:vAlign w:val="center"/>
                </w:tcPr>
                <w:p>
                  <w:pPr>
                    <w:pStyle w:val="38"/>
                    <w:bidi w:val="0"/>
                  </w:pPr>
                  <w:r>
                    <w:t>绿化隔离带宽度（m）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284" w:type="pct"/>
                  <w:vMerge w:val="restart"/>
                  <w:noWrap w:val="0"/>
                  <w:vAlign w:val="center"/>
                </w:tcPr>
                <w:p>
                  <w:pPr>
                    <w:pStyle w:val="38"/>
                    <w:bidi w:val="0"/>
                  </w:pPr>
                  <w:r>
                    <w:t>大型</w:t>
                  </w:r>
                </w:p>
              </w:tc>
              <w:tc>
                <w:tcPr>
                  <w:tcW w:w="346" w:type="pct"/>
                  <w:noWrap w:val="0"/>
                  <w:vAlign w:val="center"/>
                </w:tcPr>
                <w:p>
                  <w:pPr>
                    <w:pStyle w:val="38"/>
                    <w:bidi w:val="0"/>
                  </w:pPr>
                  <w:r>
                    <w:t>I类</w:t>
                  </w:r>
                </w:p>
              </w:tc>
              <w:tc>
                <w:tcPr>
                  <w:tcW w:w="1049" w:type="pct"/>
                  <w:noWrap w:val="0"/>
                  <w:vAlign w:val="center"/>
                </w:tcPr>
                <w:p>
                  <w:pPr>
                    <w:pStyle w:val="38"/>
                    <w:bidi w:val="0"/>
                  </w:pPr>
                  <w:r>
                    <w:t>≥1000，≤3000</w:t>
                  </w:r>
                </w:p>
              </w:tc>
              <w:tc>
                <w:tcPr>
                  <w:tcW w:w="977" w:type="pct"/>
                  <w:noWrap w:val="0"/>
                  <w:vAlign w:val="center"/>
                </w:tcPr>
                <w:p>
                  <w:pPr>
                    <w:pStyle w:val="38"/>
                    <w:bidi w:val="0"/>
                  </w:pPr>
                  <w:r>
                    <w:t>≥15000，≤30000</w:t>
                  </w:r>
                </w:p>
              </w:tc>
              <w:tc>
                <w:tcPr>
                  <w:tcW w:w="1278" w:type="pct"/>
                  <w:noWrap w:val="0"/>
                  <w:vAlign w:val="center"/>
                </w:tcPr>
                <w:p>
                  <w:pPr>
                    <w:pStyle w:val="38"/>
                    <w:bidi w:val="0"/>
                  </w:pPr>
                  <w:r>
                    <w:t>≥30</w:t>
                  </w:r>
                </w:p>
              </w:tc>
              <w:tc>
                <w:tcPr>
                  <w:tcW w:w="1062" w:type="pct"/>
                  <w:vMerge w:val="restart"/>
                  <w:noWrap w:val="0"/>
                  <w:vAlign w:val="center"/>
                </w:tcPr>
                <w:p>
                  <w:pPr>
                    <w:pStyle w:val="38"/>
                    <w:bidi w:val="0"/>
                  </w:pPr>
                  <w:r>
                    <w:t>5~10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284" w:type="pct"/>
                  <w:vMerge w:val="continue"/>
                  <w:noWrap w:val="0"/>
                  <w:vAlign w:val="center"/>
                </w:tcPr>
                <w:p>
                  <w:pPr>
                    <w:pStyle w:val="38"/>
                    <w:bidi w:val="0"/>
                  </w:pPr>
                </w:p>
              </w:tc>
              <w:tc>
                <w:tcPr>
                  <w:tcW w:w="346" w:type="pct"/>
                  <w:noWrap w:val="0"/>
                  <w:vAlign w:val="center"/>
                </w:tcPr>
                <w:p>
                  <w:pPr>
                    <w:pStyle w:val="38"/>
                    <w:bidi w:val="0"/>
                  </w:pPr>
                  <w:r>
                    <w:t>II类</w:t>
                  </w:r>
                </w:p>
              </w:tc>
              <w:tc>
                <w:tcPr>
                  <w:tcW w:w="1049" w:type="pct"/>
                  <w:noWrap w:val="0"/>
                  <w:vAlign w:val="center"/>
                </w:tcPr>
                <w:p>
                  <w:pPr>
                    <w:pStyle w:val="38"/>
                    <w:bidi w:val="0"/>
                  </w:pPr>
                  <w:r>
                    <w:t>≥450，＜1000</w:t>
                  </w:r>
                </w:p>
              </w:tc>
              <w:tc>
                <w:tcPr>
                  <w:tcW w:w="977" w:type="pct"/>
                  <w:noWrap w:val="0"/>
                  <w:vAlign w:val="center"/>
                </w:tcPr>
                <w:p>
                  <w:pPr>
                    <w:pStyle w:val="38"/>
                    <w:bidi w:val="0"/>
                  </w:pPr>
                  <w:r>
                    <w:t>≥10000，＜15000</w:t>
                  </w:r>
                </w:p>
              </w:tc>
              <w:tc>
                <w:tcPr>
                  <w:tcW w:w="1278" w:type="pct"/>
                  <w:noWrap w:val="0"/>
                  <w:vAlign w:val="center"/>
                </w:tcPr>
                <w:p>
                  <w:pPr>
                    <w:pStyle w:val="38"/>
                    <w:bidi w:val="0"/>
                  </w:pPr>
                  <w:r>
                    <w:t>≥20</w:t>
                  </w:r>
                </w:p>
              </w:tc>
              <w:tc>
                <w:tcPr>
                  <w:tcW w:w="1062" w:type="pct"/>
                  <w:vMerge w:val="continue"/>
                  <w:noWrap w:val="0"/>
                  <w:vAlign w:val="center"/>
                </w:tcPr>
                <w:p>
                  <w:pPr>
                    <w:pStyle w:val="38"/>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284" w:type="pct"/>
                  <w:noWrap w:val="0"/>
                  <w:vAlign w:val="center"/>
                </w:tcPr>
                <w:p>
                  <w:pPr>
                    <w:pStyle w:val="38"/>
                    <w:bidi w:val="0"/>
                  </w:pPr>
                  <w:r>
                    <w:t>中型</w:t>
                  </w:r>
                </w:p>
              </w:tc>
              <w:tc>
                <w:tcPr>
                  <w:tcW w:w="346" w:type="pct"/>
                  <w:noWrap w:val="0"/>
                  <w:vAlign w:val="center"/>
                </w:tcPr>
                <w:p>
                  <w:pPr>
                    <w:pStyle w:val="38"/>
                    <w:bidi w:val="0"/>
                  </w:pPr>
                  <w:r>
                    <w:t>III类</w:t>
                  </w:r>
                </w:p>
              </w:tc>
              <w:tc>
                <w:tcPr>
                  <w:tcW w:w="1049" w:type="pct"/>
                  <w:noWrap w:val="0"/>
                  <w:vAlign w:val="center"/>
                </w:tcPr>
                <w:p>
                  <w:pPr>
                    <w:pStyle w:val="38"/>
                    <w:bidi w:val="0"/>
                  </w:pPr>
                  <w:r>
                    <w:t>≥150，＜450</w:t>
                  </w:r>
                </w:p>
              </w:tc>
              <w:tc>
                <w:tcPr>
                  <w:tcW w:w="977" w:type="pct"/>
                  <w:noWrap w:val="0"/>
                  <w:vAlign w:val="center"/>
                </w:tcPr>
                <w:p>
                  <w:pPr>
                    <w:pStyle w:val="38"/>
                    <w:bidi w:val="0"/>
                  </w:pPr>
                  <w:r>
                    <w:t>≥4000，＜10000</w:t>
                  </w:r>
                </w:p>
              </w:tc>
              <w:tc>
                <w:tcPr>
                  <w:tcW w:w="1278" w:type="pct"/>
                  <w:noWrap w:val="0"/>
                  <w:vAlign w:val="center"/>
                </w:tcPr>
                <w:p>
                  <w:pPr>
                    <w:pStyle w:val="38"/>
                    <w:bidi w:val="0"/>
                  </w:pPr>
                  <w:r>
                    <w:t>≥15</w:t>
                  </w:r>
                </w:p>
              </w:tc>
              <w:tc>
                <w:tcPr>
                  <w:tcW w:w="1062" w:type="pct"/>
                  <w:vMerge w:val="continue"/>
                  <w:noWrap w:val="0"/>
                  <w:vAlign w:val="center"/>
                </w:tcPr>
                <w:p>
                  <w:pPr>
                    <w:pStyle w:val="38"/>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284" w:type="pct"/>
                  <w:vMerge w:val="restart"/>
                  <w:noWrap w:val="0"/>
                  <w:vAlign w:val="center"/>
                </w:tcPr>
                <w:p>
                  <w:pPr>
                    <w:pStyle w:val="38"/>
                    <w:bidi w:val="0"/>
                  </w:pPr>
                  <w:r>
                    <w:t>小型</w:t>
                  </w:r>
                </w:p>
              </w:tc>
              <w:tc>
                <w:tcPr>
                  <w:tcW w:w="346" w:type="pct"/>
                  <w:noWrap w:val="0"/>
                  <w:vAlign w:val="center"/>
                </w:tcPr>
                <w:p>
                  <w:pPr>
                    <w:pStyle w:val="38"/>
                    <w:bidi w:val="0"/>
                  </w:pPr>
                  <w:r>
                    <w:t>IV类</w:t>
                  </w:r>
                </w:p>
              </w:tc>
              <w:tc>
                <w:tcPr>
                  <w:tcW w:w="1049" w:type="pct"/>
                  <w:noWrap w:val="0"/>
                  <w:vAlign w:val="center"/>
                </w:tcPr>
                <w:p>
                  <w:pPr>
                    <w:pStyle w:val="38"/>
                    <w:bidi w:val="0"/>
                  </w:pPr>
                  <w:r>
                    <w:t>≥50，＜150</w:t>
                  </w:r>
                </w:p>
              </w:tc>
              <w:tc>
                <w:tcPr>
                  <w:tcW w:w="977" w:type="pct"/>
                  <w:noWrap w:val="0"/>
                  <w:vAlign w:val="center"/>
                </w:tcPr>
                <w:p>
                  <w:pPr>
                    <w:pStyle w:val="38"/>
                    <w:bidi w:val="0"/>
                  </w:pPr>
                  <w:r>
                    <w:t>≥1000，＜4000</w:t>
                  </w:r>
                </w:p>
              </w:tc>
              <w:tc>
                <w:tcPr>
                  <w:tcW w:w="1278" w:type="pct"/>
                  <w:noWrap w:val="0"/>
                  <w:vAlign w:val="center"/>
                </w:tcPr>
                <w:p>
                  <w:pPr>
                    <w:pStyle w:val="38"/>
                    <w:bidi w:val="0"/>
                  </w:pPr>
                  <w:r>
                    <w:t>≥10</w:t>
                  </w:r>
                </w:p>
              </w:tc>
              <w:tc>
                <w:tcPr>
                  <w:tcW w:w="1062" w:type="pct"/>
                  <w:vMerge w:val="restart"/>
                  <w:noWrap w:val="0"/>
                  <w:vAlign w:val="center"/>
                </w:tcPr>
                <w:p>
                  <w:pPr>
                    <w:pStyle w:val="38"/>
                    <w:bidi w:val="0"/>
                  </w:pPr>
                  <w: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284" w:type="pct"/>
                  <w:vMerge w:val="continue"/>
                  <w:noWrap w:val="0"/>
                  <w:vAlign w:val="center"/>
                </w:tcPr>
                <w:p>
                  <w:pPr>
                    <w:pStyle w:val="38"/>
                    <w:bidi w:val="0"/>
                  </w:pPr>
                </w:p>
              </w:tc>
              <w:tc>
                <w:tcPr>
                  <w:tcW w:w="346" w:type="pct"/>
                  <w:noWrap w:val="0"/>
                  <w:vAlign w:val="center"/>
                </w:tcPr>
                <w:p>
                  <w:pPr>
                    <w:pStyle w:val="38"/>
                    <w:bidi w:val="0"/>
                  </w:pPr>
                  <w:r>
                    <w:t>V类</w:t>
                  </w:r>
                </w:p>
              </w:tc>
              <w:tc>
                <w:tcPr>
                  <w:tcW w:w="1049" w:type="pct"/>
                  <w:noWrap w:val="0"/>
                  <w:vAlign w:val="center"/>
                </w:tcPr>
                <w:p>
                  <w:pPr>
                    <w:pStyle w:val="38"/>
                    <w:bidi w:val="0"/>
                  </w:pPr>
                  <w:r>
                    <w:t>＜50</w:t>
                  </w:r>
                </w:p>
              </w:tc>
              <w:tc>
                <w:tcPr>
                  <w:tcW w:w="977" w:type="pct"/>
                  <w:noWrap w:val="0"/>
                  <w:vAlign w:val="center"/>
                </w:tcPr>
                <w:p>
                  <w:pPr>
                    <w:pStyle w:val="38"/>
                    <w:bidi w:val="0"/>
                  </w:pPr>
                  <w:r>
                    <w:t>≥500，＜1000</w:t>
                  </w:r>
                </w:p>
              </w:tc>
              <w:tc>
                <w:tcPr>
                  <w:tcW w:w="1278" w:type="pct"/>
                  <w:noWrap w:val="0"/>
                  <w:vAlign w:val="center"/>
                </w:tcPr>
                <w:p>
                  <w:pPr>
                    <w:pStyle w:val="38"/>
                    <w:bidi w:val="0"/>
                  </w:pPr>
                  <w:r>
                    <w:t>≥8</w:t>
                  </w:r>
                </w:p>
              </w:tc>
              <w:tc>
                <w:tcPr>
                  <w:tcW w:w="1062" w:type="pct"/>
                  <w:vMerge w:val="continue"/>
                  <w:noWrap w:val="0"/>
                  <w:vAlign w:val="center"/>
                </w:tcPr>
                <w:p>
                  <w:pPr>
                    <w:pStyle w:val="38"/>
                    <w:bidi w:val="0"/>
                  </w:pPr>
                </w:p>
              </w:tc>
            </w:tr>
          </w:tbl>
          <w:p>
            <w:pPr>
              <w:spacing w:line="360" w:lineRule="auto"/>
              <w:ind w:firstLine="480" w:firstLineChars="200"/>
              <w:rPr>
                <w:rFonts w:ascii="Times New Roman" w:hAnsi="Times New Roman"/>
                <w:sz w:val="24"/>
              </w:rPr>
            </w:pPr>
            <w:r>
              <w:rPr>
                <w:rFonts w:hint="eastAsia"/>
                <w:sz w:val="24"/>
                <w:lang w:eastAsia="zh-CN"/>
              </w:rPr>
              <w:t>本项目占地</w:t>
            </w:r>
            <w:r>
              <w:rPr>
                <w:rFonts w:hint="eastAsia"/>
                <w:sz w:val="24"/>
                <w:szCs w:val="24"/>
                <w:lang w:val="en-US" w:eastAsia="zh-CN"/>
              </w:rPr>
              <w:t>6322.91</w:t>
            </w:r>
            <w:r>
              <w:rPr>
                <w:sz w:val="24"/>
                <w:szCs w:val="24"/>
              </w:rPr>
              <w:t>m</w:t>
            </w:r>
            <w:r>
              <w:rPr>
                <w:sz w:val="24"/>
                <w:szCs w:val="24"/>
                <w:vertAlign w:val="superscript"/>
              </w:rPr>
              <w:t>2</w:t>
            </w:r>
            <w:r>
              <w:rPr>
                <w:rFonts w:hint="eastAsia"/>
                <w:sz w:val="24"/>
                <w:szCs w:val="24"/>
                <w:vertAlign w:val="baseline"/>
                <w:lang w:eastAsia="zh-CN"/>
              </w:rPr>
              <w:t>，</w:t>
            </w:r>
            <w:r>
              <w:rPr>
                <w:rFonts w:hint="eastAsia"/>
                <w:sz w:val="24"/>
                <w:szCs w:val="24"/>
                <w:vertAlign w:val="baseline"/>
                <w:lang w:val="en-US" w:eastAsia="zh-CN"/>
              </w:rPr>
              <w:t>项目设计垃圾转运量400t/d，</w:t>
            </w:r>
            <w:r>
              <w:rPr>
                <w:rFonts w:ascii="Times New Roman" w:hAnsi="Times New Roman"/>
                <w:sz w:val="24"/>
              </w:rPr>
              <w:t>由上表可知，本项目属于</w:t>
            </w:r>
            <w:r>
              <w:rPr>
                <w:rFonts w:hint="eastAsia"/>
                <w:sz w:val="24"/>
                <w:lang w:eastAsia="zh-CN"/>
              </w:rPr>
              <w:t>中</w:t>
            </w:r>
            <w:r>
              <w:rPr>
                <w:rFonts w:ascii="Times New Roman" w:hAnsi="Times New Roman"/>
                <w:sz w:val="24"/>
              </w:rPr>
              <w:t>型</w:t>
            </w:r>
            <w:r>
              <w:t>III</w:t>
            </w:r>
            <w:r>
              <w:rPr>
                <w:rFonts w:ascii="Times New Roman" w:hAnsi="Times New Roman"/>
                <w:sz w:val="24"/>
              </w:rPr>
              <w:t>类生活垃圾转运站，本项目与《生活垃圾转运站技术规范》（GJJ/T47-2016）符合性如下表所示：</w:t>
            </w:r>
          </w:p>
          <w:p>
            <w:pPr>
              <w:pStyle w:val="45"/>
              <w:bidi w:val="0"/>
            </w:pPr>
            <w:r>
              <w:t>表</w:t>
            </w:r>
            <w:r>
              <w:rPr>
                <w:rFonts w:hint="eastAsia"/>
                <w:lang w:val="en-US" w:eastAsia="zh-CN"/>
              </w:rPr>
              <w:t>1-3</w:t>
            </w:r>
            <w:r>
              <w:t xml:space="preserve"> 本项目与《生活垃圾转运站技术规范》（GJJ/T47-2016）符合性</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3447"/>
              <w:gridCol w:w="3515"/>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6" w:type="pct"/>
                  <w:noWrap w:val="0"/>
                  <w:vAlign w:val="center"/>
                </w:tcPr>
                <w:p>
                  <w:pPr>
                    <w:pStyle w:val="38"/>
                    <w:bidi w:val="0"/>
                    <w:rPr>
                      <w:sz w:val="21"/>
                      <w:szCs w:val="21"/>
                    </w:rPr>
                  </w:pPr>
                  <w:r>
                    <w:rPr>
                      <w:sz w:val="21"/>
                      <w:szCs w:val="21"/>
                    </w:rPr>
                    <w:t>序号</w:t>
                  </w:r>
                </w:p>
              </w:tc>
              <w:tc>
                <w:tcPr>
                  <w:tcW w:w="2029" w:type="pct"/>
                  <w:noWrap w:val="0"/>
                  <w:vAlign w:val="center"/>
                </w:tcPr>
                <w:p>
                  <w:pPr>
                    <w:pStyle w:val="38"/>
                    <w:bidi w:val="0"/>
                    <w:rPr>
                      <w:sz w:val="21"/>
                      <w:szCs w:val="21"/>
                    </w:rPr>
                  </w:pPr>
                  <w:r>
                    <w:rPr>
                      <w:sz w:val="21"/>
                      <w:szCs w:val="21"/>
                    </w:rPr>
                    <w:t>技术规范要求</w:t>
                  </w:r>
                </w:p>
              </w:tc>
              <w:tc>
                <w:tcPr>
                  <w:tcW w:w="2069" w:type="pct"/>
                  <w:noWrap w:val="0"/>
                  <w:vAlign w:val="center"/>
                </w:tcPr>
                <w:p>
                  <w:pPr>
                    <w:pStyle w:val="38"/>
                    <w:bidi w:val="0"/>
                    <w:rPr>
                      <w:sz w:val="21"/>
                      <w:szCs w:val="21"/>
                    </w:rPr>
                  </w:pPr>
                  <w:r>
                    <w:rPr>
                      <w:sz w:val="21"/>
                      <w:szCs w:val="21"/>
                    </w:rPr>
                    <w:t>本项目情况</w:t>
                  </w:r>
                </w:p>
              </w:tc>
              <w:tc>
                <w:tcPr>
                  <w:tcW w:w="554" w:type="pct"/>
                  <w:noWrap w:val="0"/>
                  <w:vAlign w:val="center"/>
                </w:tcPr>
                <w:p>
                  <w:pPr>
                    <w:pStyle w:val="38"/>
                    <w:bidi w:val="0"/>
                    <w:rPr>
                      <w:sz w:val="21"/>
                      <w:szCs w:val="21"/>
                    </w:rPr>
                  </w:pPr>
                  <w:r>
                    <w:rPr>
                      <w:sz w:val="21"/>
                      <w:szCs w:val="21"/>
                    </w:rPr>
                    <w:t>是否符合技术规范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6" w:type="pct"/>
                  <w:noWrap w:val="0"/>
                  <w:vAlign w:val="center"/>
                </w:tcPr>
                <w:p>
                  <w:pPr>
                    <w:pStyle w:val="38"/>
                    <w:bidi w:val="0"/>
                    <w:rPr>
                      <w:sz w:val="21"/>
                      <w:szCs w:val="21"/>
                    </w:rPr>
                  </w:pPr>
                  <w:r>
                    <w:rPr>
                      <w:sz w:val="21"/>
                      <w:szCs w:val="21"/>
                    </w:rPr>
                    <w:t>1</w:t>
                  </w:r>
                </w:p>
              </w:tc>
              <w:tc>
                <w:tcPr>
                  <w:tcW w:w="2029" w:type="pct"/>
                  <w:noWrap w:val="0"/>
                  <w:vAlign w:val="center"/>
                </w:tcPr>
                <w:p>
                  <w:pPr>
                    <w:pStyle w:val="38"/>
                    <w:bidi w:val="0"/>
                    <w:jc w:val="both"/>
                    <w:rPr>
                      <w:rFonts w:hint="eastAsia"/>
                      <w:sz w:val="21"/>
                      <w:szCs w:val="21"/>
                      <w:lang w:eastAsia="zh-CN"/>
                    </w:rPr>
                  </w:pPr>
                  <w:r>
                    <w:rPr>
                      <w:rFonts w:hint="eastAsia"/>
                      <w:sz w:val="21"/>
                      <w:szCs w:val="21"/>
                      <w:lang w:eastAsia="zh-CN"/>
                    </w:rPr>
                    <w:t>选址</w:t>
                  </w:r>
                </w:p>
                <w:p>
                  <w:pPr>
                    <w:pStyle w:val="38"/>
                    <w:bidi w:val="0"/>
                    <w:jc w:val="both"/>
                    <w:rPr>
                      <w:sz w:val="21"/>
                      <w:szCs w:val="21"/>
                    </w:rPr>
                  </w:pPr>
                  <w:r>
                    <w:rPr>
                      <w:rFonts w:hint="eastAsia"/>
                      <w:sz w:val="21"/>
                      <w:szCs w:val="21"/>
                      <w:lang w:eastAsia="zh-CN"/>
                    </w:rPr>
                    <w:t>①</w:t>
                  </w:r>
                  <w:r>
                    <w:rPr>
                      <w:sz w:val="21"/>
                      <w:szCs w:val="21"/>
                    </w:rPr>
                    <w:t>应符合城乡规划和环境卫生专项规划的要求</w:t>
                  </w:r>
                </w:p>
                <w:p>
                  <w:pPr>
                    <w:pStyle w:val="38"/>
                    <w:bidi w:val="0"/>
                    <w:jc w:val="both"/>
                    <w:rPr>
                      <w:sz w:val="21"/>
                      <w:szCs w:val="21"/>
                    </w:rPr>
                  </w:pPr>
                  <w:r>
                    <w:rPr>
                      <w:rFonts w:hint="eastAsia"/>
                      <w:sz w:val="21"/>
                      <w:szCs w:val="21"/>
                      <w:lang w:eastAsia="zh-CN"/>
                    </w:rPr>
                    <w:t>②</w:t>
                  </w:r>
                  <w:r>
                    <w:rPr>
                      <w:sz w:val="21"/>
                      <w:szCs w:val="21"/>
                    </w:rPr>
                    <w:t>应综合考虑服务区域、服务人口、转运能力、转运规模、运输距离、污染控制、配套条件等因素的影响</w:t>
                  </w:r>
                </w:p>
                <w:p>
                  <w:pPr>
                    <w:pStyle w:val="38"/>
                    <w:bidi w:val="0"/>
                    <w:jc w:val="both"/>
                    <w:rPr>
                      <w:rFonts w:hint="eastAsia"/>
                      <w:sz w:val="21"/>
                      <w:szCs w:val="21"/>
                      <w:lang w:eastAsia="zh-CN"/>
                    </w:rPr>
                  </w:pPr>
                  <w:r>
                    <w:rPr>
                      <w:rFonts w:hint="eastAsia"/>
                      <w:sz w:val="21"/>
                      <w:szCs w:val="21"/>
                      <w:lang w:eastAsia="zh-CN"/>
                    </w:rPr>
                    <w:t>③应设在交通便利，易安排清运线路的地方</w:t>
                  </w:r>
                </w:p>
                <w:p>
                  <w:pPr>
                    <w:pStyle w:val="38"/>
                    <w:bidi w:val="0"/>
                    <w:jc w:val="both"/>
                    <w:rPr>
                      <w:sz w:val="21"/>
                      <w:szCs w:val="21"/>
                    </w:rPr>
                  </w:pPr>
                  <w:r>
                    <w:rPr>
                      <w:rFonts w:hint="eastAsia"/>
                      <w:sz w:val="21"/>
                      <w:szCs w:val="21"/>
                      <w:lang w:eastAsia="zh-CN"/>
                    </w:rPr>
                    <w:t>④</w:t>
                  </w:r>
                  <w:r>
                    <w:rPr>
                      <w:sz w:val="21"/>
                      <w:szCs w:val="21"/>
                    </w:rPr>
                    <w:t>应满足供电、供水、污水排放、通信等方面的要求</w:t>
                  </w:r>
                </w:p>
                <w:p>
                  <w:pPr>
                    <w:pStyle w:val="38"/>
                    <w:bidi w:val="0"/>
                    <w:jc w:val="both"/>
                    <w:rPr>
                      <w:sz w:val="21"/>
                      <w:szCs w:val="21"/>
                    </w:rPr>
                  </w:pPr>
                  <w:r>
                    <w:rPr>
                      <w:rFonts w:hint="eastAsia"/>
                      <w:sz w:val="21"/>
                      <w:szCs w:val="21"/>
                      <w:lang w:eastAsia="zh-CN"/>
                    </w:rPr>
                    <w:t>⑤</w:t>
                  </w:r>
                  <w:r>
                    <w:rPr>
                      <w:sz w:val="21"/>
                      <w:szCs w:val="21"/>
                    </w:rPr>
                    <w:t>转运站不宜设在大型商场、影剧院出入口等繁华地段</w:t>
                  </w:r>
                </w:p>
                <w:p>
                  <w:pPr>
                    <w:pStyle w:val="38"/>
                    <w:bidi w:val="0"/>
                    <w:jc w:val="both"/>
                    <w:rPr>
                      <w:rFonts w:hint="eastAsia"/>
                      <w:sz w:val="21"/>
                      <w:szCs w:val="21"/>
                      <w:lang w:eastAsia="zh-CN"/>
                    </w:rPr>
                  </w:pPr>
                  <w:r>
                    <w:rPr>
                      <w:rFonts w:hint="eastAsia"/>
                      <w:sz w:val="21"/>
                      <w:szCs w:val="21"/>
                      <w:lang w:eastAsia="zh-CN"/>
                    </w:rPr>
                    <w:t>⑥</w:t>
                  </w:r>
                  <w:r>
                    <w:rPr>
                      <w:sz w:val="21"/>
                      <w:szCs w:val="21"/>
                    </w:rPr>
                    <w:t>转运站不宜设在邻近学校、商场、餐饮店等群众日常生活聚集场所和其他人流密集区域</w:t>
                  </w:r>
                </w:p>
              </w:tc>
              <w:tc>
                <w:tcPr>
                  <w:tcW w:w="2069" w:type="pct"/>
                  <w:noWrap w:val="0"/>
                  <w:vAlign w:val="center"/>
                </w:tcPr>
                <w:p>
                  <w:pPr>
                    <w:pStyle w:val="38"/>
                    <w:bidi w:val="0"/>
                    <w:jc w:val="both"/>
                    <w:rPr>
                      <w:sz w:val="21"/>
                      <w:szCs w:val="21"/>
                    </w:rPr>
                  </w:pPr>
                  <w:r>
                    <w:rPr>
                      <w:rFonts w:hint="eastAsia"/>
                      <w:sz w:val="21"/>
                      <w:szCs w:val="21"/>
                      <w:lang w:eastAsia="zh-CN"/>
                    </w:rPr>
                    <w:t>①</w:t>
                  </w:r>
                  <w:r>
                    <w:rPr>
                      <w:sz w:val="21"/>
                      <w:szCs w:val="21"/>
                    </w:rPr>
                    <w:t>本项目垃圾中转站已取得</w:t>
                  </w:r>
                  <w:r>
                    <w:rPr>
                      <w:rFonts w:hint="eastAsia"/>
                      <w:sz w:val="21"/>
                      <w:szCs w:val="21"/>
                    </w:rPr>
                    <w:t>建设项目</w:t>
                  </w:r>
                  <w:r>
                    <w:rPr>
                      <w:sz w:val="21"/>
                      <w:szCs w:val="21"/>
                    </w:rPr>
                    <w:t>选址意见书，符合城乡规划</w:t>
                  </w:r>
                </w:p>
                <w:p>
                  <w:pPr>
                    <w:pStyle w:val="38"/>
                    <w:bidi w:val="0"/>
                    <w:jc w:val="both"/>
                    <w:rPr>
                      <w:sz w:val="21"/>
                      <w:szCs w:val="21"/>
                    </w:rPr>
                  </w:pPr>
                  <w:r>
                    <w:rPr>
                      <w:rFonts w:hint="eastAsia"/>
                      <w:sz w:val="21"/>
                      <w:szCs w:val="21"/>
                      <w:lang w:eastAsia="zh-CN"/>
                    </w:rPr>
                    <w:t>②</w:t>
                  </w:r>
                  <w:r>
                    <w:rPr>
                      <w:sz w:val="21"/>
                      <w:szCs w:val="21"/>
                    </w:rPr>
                    <w:t>项目服务区域为</w:t>
                  </w:r>
                  <w:r>
                    <w:rPr>
                      <w:rFonts w:hint="eastAsia"/>
                      <w:sz w:val="21"/>
                      <w:szCs w:val="21"/>
                      <w:lang w:eastAsia="zh-CN"/>
                    </w:rPr>
                    <w:t>凤凰县沱江镇、水打田乡、林峰乡、廖家桥镇、阿拉营镇、新场镇、落潮井镇、茶田镇、千工坪镇、山江镇、麻冲乡这</w:t>
                  </w:r>
                  <w:r>
                    <w:rPr>
                      <w:rFonts w:hint="eastAsia"/>
                      <w:sz w:val="21"/>
                      <w:szCs w:val="21"/>
                      <w:lang w:val="en-US" w:eastAsia="zh-CN"/>
                    </w:rPr>
                    <w:t>11个</w:t>
                  </w:r>
                  <w:r>
                    <w:rPr>
                      <w:rFonts w:hint="eastAsia"/>
                      <w:sz w:val="21"/>
                      <w:szCs w:val="21"/>
                      <w:lang w:eastAsia="zh-CN"/>
                    </w:rPr>
                    <w:t>乡镇</w:t>
                  </w:r>
                  <w:r>
                    <w:rPr>
                      <w:sz w:val="21"/>
                      <w:szCs w:val="21"/>
                    </w:rPr>
                    <w:t>，服务人口、转运能力、转运规模、运输距离、污染控制、配套条件合理</w:t>
                  </w:r>
                </w:p>
                <w:p>
                  <w:pPr>
                    <w:pStyle w:val="38"/>
                    <w:bidi w:val="0"/>
                    <w:jc w:val="both"/>
                    <w:rPr>
                      <w:sz w:val="21"/>
                      <w:szCs w:val="21"/>
                    </w:rPr>
                  </w:pPr>
                  <w:r>
                    <w:rPr>
                      <w:rFonts w:hint="eastAsia"/>
                      <w:sz w:val="21"/>
                      <w:szCs w:val="21"/>
                      <w:lang w:eastAsia="zh-CN"/>
                    </w:rPr>
                    <w:t>③</w:t>
                  </w:r>
                  <w:r>
                    <w:rPr>
                      <w:sz w:val="21"/>
                      <w:szCs w:val="21"/>
                    </w:rPr>
                    <w:t>项目靠近</w:t>
                  </w:r>
                  <w:r>
                    <w:rPr>
                      <w:rFonts w:hint="eastAsia"/>
                      <w:sz w:val="21"/>
                      <w:szCs w:val="21"/>
                      <w:lang w:val="en-US" w:eastAsia="zh-CN"/>
                    </w:rPr>
                    <w:t>G209</w:t>
                  </w:r>
                  <w:r>
                    <w:rPr>
                      <w:rFonts w:hint="eastAsia"/>
                      <w:sz w:val="21"/>
                      <w:szCs w:val="21"/>
                      <w:lang w:eastAsia="zh-CN"/>
                    </w:rPr>
                    <w:t>公</w:t>
                  </w:r>
                  <w:r>
                    <w:rPr>
                      <w:sz w:val="21"/>
                      <w:szCs w:val="21"/>
                    </w:rPr>
                    <w:t>路</w:t>
                  </w:r>
                </w:p>
                <w:p>
                  <w:pPr>
                    <w:pStyle w:val="38"/>
                    <w:bidi w:val="0"/>
                    <w:jc w:val="both"/>
                    <w:rPr>
                      <w:rFonts w:hint="eastAsia"/>
                      <w:sz w:val="21"/>
                      <w:szCs w:val="21"/>
                    </w:rPr>
                  </w:pPr>
                  <w:r>
                    <w:rPr>
                      <w:rFonts w:hint="eastAsia"/>
                      <w:sz w:val="21"/>
                      <w:szCs w:val="21"/>
                      <w:lang w:eastAsia="zh-CN"/>
                    </w:rPr>
                    <w:t>④项</w:t>
                  </w:r>
                  <w:r>
                    <w:rPr>
                      <w:sz w:val="21"/>
                      <w:szCs w:val="21"/>
                    </w:rPr>
                    <w:t>目供电、供水、污水排放、通信满足</w:t>
                  </w:r>
                  <w:r>
                    <w:rPr>
                      <w:rFonts w:hint="eastAsia"/>
                      <w:sz w:val="21"/>
                      <w:szCs w:val="21"/>
                    </w:rPr>
                    <w:t>相关要求</w:t>
                  </w:r>
                </w:p>
                <w:p>
                  <w:pPr>
                    <w:pStyle w:val="38"/>
                    <w:bidi w:val="0"/>
                    <w:jc w:val="both"/>
                    <w:rPr>
                      <w:rFonts w:hint="eastAsia" w:eastAsia="宋体"/>
                      <w:sz w:val="21"/>
                      <w:szCs w:val="21"/>
                      <w:lang w:eastAsia="zh-CN"/>
                    </w:rPr>
                  </w:pPr>
                  <w:r>
                    <w:rPr>
                      <w:rFonts w:hint="eastAsia"/>
                      <w:sz w:val="21"/>
                      <w:szCs w:val="21"/>
                      <w:lang w:eastAsia="zh-CN"/>
                    </w:rPr>
                    <w:t>⑤</w:t>
                  </w:r>
                  <w:r>
                    <w:rPr>
                      <w:sz w:val="21"/>
                      <w:szCs w:val="21"/>
                    </w:rPr>
                    <w:t>本项目位于</w:t>
                  </w:r>
                  <w:r>
                    <w:rPr>
                      <w:rFonts w:hint="eastAsia"/>
                      <w:sz w:val="21"/>
                      <w:szCs w:val="21"/>
                      <w:lang w:eastAsia="zh-CN"/>
                    </w:rPr>
                    <w:t>沱江</w:t>
                  </w:r>
                  <w:r>
                    <w:rPr>
                      <w:rFonts w:hint="eastAsia"/>
                      <w:sz w:val="21"/>
                      <w:szCs w:val="21"/>
                    </w:rPr>
                    <w:t>镇</w:t>
                  </w:r>
                  <w:r>
                    <w:rPr>
                      <w:rFonts w:hint="eastAsia"/>
                      <w:sz w:val="21"/>
                      <w:szCs w:val="21"/>
                      <w:lang w:eastAsia="zh-CN"/>
                    </w:rPr>
                    <w:t>高峰村</w:t>
                  </w:r>
                  <w:r>
                    <w:rPr>
                      <w:sz w:val="21"/>
                      <w:szCs w:val="21"/>
                    </w:rPr>
                    <w:t>，不位于繁华地段</w:t>
                  </w:r>
                </w:p>
                <w:p>
                  <w:pPr>
                    <w:pStyle w:val="38"/>
                    <w:bidi w:val="0"/>
                    <w:jc w:val="both"/>
                    <w:rPr>
                      <w:rFonts w:hint="eastAsia"/>
                      <w:sz w:val="21"/>
                      <w:szCs w:val="21"/>
                      <w:lang w:eastAsia="zh-CN"/>
                    </w:rPr>
                  </w:pPr>
                  <w:r>
                    <w:rPr>
                      <w:rFonts w:hint="eastAsia"/>
                      <w:sz w:val="21"/>
                      <w:szCs w:val="21"/>
                      <w:lang w:eastAsia="zh-CN"/>
                    </w:rPr>
                    <w:t>⑥</w:t>
                  </w:r>
                  <w:r>
                    <w:rPr>
                      <w:sz w:val="21"/>
                      <w:szCs w:val="21"/>
                    </w:rPr>
                    <w:t>本项目周围无学校、商场、餐饮店等人流密集区域</w:t>
                  </w:r>
                </w:p>
              </w:tc>
              <w:tc>
                <w:tcPr>
                  <w:tcW w:w="554" w:type="pct"/>
                  <w:noWrap w:val="0"/>
                  <w:vAlign w:val="center"/>
                </w:tcPr>
                <w:p>
                  <w:pPr>
                    <w:pStyle w:val="38"/>
                    <w:bidi w:val="0"/>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46" w:type="pct"/>
                  <w:noWrap w:val="0"/>
                  <w:vAlign w:val="center"/>
                </w:tcPr>
                <w:p>
                  <w:pPr>
                    <w:pStyle w:val="38"/>
                    <w:bidi w:val="0"/>
                    <w:rPr>
                      <w:sz w:val="21"/>
                      <w:szCs w:val="21"/>
                    </w:rPr>
                  </w:pPr>
                  <w:r>
                    <w:rPr>
                      <w:sz w:val="21"/>
                      <w:szCs w:val="21"/>
                    </w:rPr>
                    <w:t>2</w:t>
                  </w:r>
                </w:p>
              </w:tc>
              <w:tc>
                <w:tcPr>
                  <w:tcW w:w="2029" w:type="pct"/>
                  <w:noWrap w:val="0"/>
                  <w:vAlign w:val="center"/>
                </w:tcPr>
                <w:p>
                  <w:pPr>
                    <w:pStyle w:val="38"/>
                    <w:bidi w:val="0"/>
                    <w:rPr>
                      <w:rFonts w:hint="eastAsia"/>
                      <w:sz w:val="21"/>
                      <w:szCs w:val="21"/>
                      <w:lang w:eastAsia="zh-CN"/>
                    </w:rPr>
                  </w:pPr>
                  <w:r>
                    <w:rPr>
                      <w:rFonts w:hint="eastAsia"/>
                      <w:sz w:val="21"/>
                      <w:szCs w:val="21"/>
                      <w:lang w:eastAsia="zh-CN"/>
                    </w:rPr>
                    <w:t>规模</w:t>
                  </w:r>
                </w:p>
                <w:p>
                  <w:pPr>
                    <w:pStyle w:val="38"/>
                    <w:bidi w:val="0"/>
                    <w:jc w:val="both"/>
                    <w:rPr>
                      <w:rFonts w:hint="eastAsia"/>
                      <w:sz w:val="21"/>
                      <w:szCs w:val="21"/>
                      <w:lang w:eastAsia="zh-CN"/>
                    </w:rPr>
                  </w:pPr>
                  <w:r>
                    <w:rPr>
                      <w:rFonts w:hint="eastAsia"/>
                      <w:sz w:val="21"/>
                      <w:szCs w:val="21"/>
                      <w:lang w:eastAsia="zh-CN"/>
                    </w:rPr>
                    <w:t>转运站的设计日转运垃圾能力，可按其规模分为大、中、小型及Ⅰ、Ⅱ、Ⅲ、Ⅳ、Ⅴ类五小类。不同规模转运站的主要用地指标应符合转运站主要用地指标</w:t>
                  </w:r>
                </w:p>
              </w:tc>
              <w:tc>
                <w:tcPr>
                  <w:tcW w:w="2069" w:type="pct"/>
                  <w:noWrap w:val="0"/>
                  <w:vAlign w:val="center"/>
                </w:tcPr>
                <w:p>
                  <w:pPr>
                    <w:pStyle w:val="38"/>
                    <w:bidi w:val="0"/>
                    <w:jc w:val="both"/>
                    <w:rPr>
                      <w:rFonts w:hint="eastAsia" w:eastAsia="宋体"/>
                      <w:sz w:val="21"/>
                      <w:szCs w:val="21"/>
                      <w:lang w:eastAsia="zh-CN"/>
                    </w:rPr>
                  </w:pPr>
                  <w:r>
                    <w:rPr>
                      <w:rFonts w:hint="eastAsia"/>
                      <w:sz w:val="21"/>
                      <w:szCs w:val="21"/>
                      <w:lang w:eastAsia="zh-CN"/>
                    </w:rPr>
                    <w:t>本项目设计垃圾转运量</w:t>
                  </w:r>
                  <w:r>
                    <w:rPr>
                      <w:rFonts w:hint="eastAsia"/>
                      <w:sz w:val="21"/>
                      <w:szCs w:val="21"/>
                      <w:lang w:val="en-US" w:eastAsia="zh-CN"/>
                    </w:rPr>
                    <w:t>400t/d</w:t>
                  </w:r>
                  <w:r>
                    <w:rPr>
                      <w:rFonts w:hint="eastAsia"/>
                      <w:sz w:val="21"/>
                      <w:szCs w:val="21"/>
                      <w:lang w:eastAsia="zh-CN"/>
                    </w:rPr>
                    <w:t>，对应的用地指标应为</w:t>
                  </w:r>
                  <w:r>
                    <w:rPr>
                      <w:rFonts w:hint="eastAsia"/>
                      <w:sz w:val="21"/>
                      <w:szCs w:val="21"/>
                      <w:lang w:val="en-US" w:eastAsia="zh-CN"/>
                    </w:rPr>
                    <w:t>4000-10000m</w:t>
                  </w:r>
                  <w:r>
                    <w:rPr>
                      <w:rFonts w:hint="eastAsia"/>
                      <w:sz w:val="21"/>
                      <w:szCs w:val="21"/>
                      <w:vertAlign w:val="superscript"/>
                      <w:lang w:val="en-US" w:eastAsia="zh-CN"/>
                    </w:rPr>
                    <w:t>2</w:t>
                  </w:r>
                  <w:r>
                    <w:rPr>
                      <w:rFonts w:hint="eastAsia"/>
                      <w:sz w:val="21"/>
                      <w:szCs w:val="21"/>
                      <w:lang w:eastAsia="zh-CN"/>
                    </w:rPr>
                    <w:t>，实际建设面积为</w:t>
                  </w:r>
                  <w:r>
                    <w:rPr>
                      <w:rFonts w:hint="eastAsia"/>
                      <w:sz w:val="21"/>
                      <w:szCs w:val="21"/>
                      <w:lang w:val="en-US" w:eastAsia="zh-CN"/>
                    </w:rPr>
                    <w:t>6322.91m</w:t>
                  </w:r>
                  <w:r>
                    <w:rPr>
                      <w:rFonts w:hint="eastAsia"/>
                      <w:sz w:val="21"/>
                      <w:szCs w:val="21"/>
                      <w:vertAlign w:val="superscript"/>
                      <w:lang w:val="en-US" w:eastAsia="zh-CN"/>
                    </w:rPr>
                    <w:t>2</w:t>
                  </w:r>
                  <w:r>
                    <w:rPr>
                      <w:rFonts w:hint="eastAsia"/>
                      <w:sz w:val="21"/>
                      <w:szCs w:val="21"/>
                      <w:lang w:eastAsia="zh-CN"/>
                    </w:rPr>
                    <w:t>，符合转运站用地指标</w:t>
                  </w:r>
                </w:p>
              </w:tc>
              <w:tc>
                <w:tcPr>
                  <w:tcW w:w="554" w:type="pct"/>
                  <w:noWrap w:val="0"/>
                  <w:vAlign w:val="center"/>
                </w:tcPr>
                <w:p>
                  <w:pPr>
                    <w:pStyle w:val="38"/>
                    <w:bidi w:val="0"/>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6" w:type="pct"/>
                  <w:noWrap w:val="0"/>
                  <w:vAlign w:val="center"/>
                </w:tcPr>
                <w:p>
                  <w:pPr>
                    <w:pStyle w:val="38"/>
                    <w:bidi w:val="0"/>
                    <w:rPr>
                      <w:sz w:val="21"/>
                      <w:szCs w:val="21"/>
                    </w:rPr>
                  </w:pPr>
                  <w:r>
                    <w:rPr>
                      <w:sz w:val="21"/>
                      <w:szCs w:val="21"/>
                    </w:rPr>
                    <w:t>3</w:t>
                  </w:r>
                </w:p>
              </w:tc>
              <w:tc>
                <w:tcPr>
                  <w:tcW w:w="2029" w:type="pct"/>
                  <w:noWrap w:val="0"/>
                  <w:vAlign w:val="center"/>
                </w:tcPr>
                <w:p>
                  <w:pPr>
                    <w:pStyle w:val="38"/>
                    <w:keepNext w:val="0"/>
                    <w:keepLines w:val="0"/>
                    <w:pageBreakBefore w:val="0"/>
                    <w:widowControl w:val="0"/>
                    <w:kinsoku/>
                    <w:wordWrap w:val="0"/>
                    <w:overflowPunct/>
                    <w:topLinePunct w:val="0"/>
                    <w:autoSpaceDE w:val="0"/>
                    <w:autoSpaceDN w:val="0"/>
                    <w:bidi w:val="0"/>
                    <w:spacing w:line="240" w:lineRule="auto"/>
                    <w:jc w:val="both"/>
                    <w:textAlignment w:val="auto"/>
                    <w:rPr>
                      <w:rFonts w:hint="eastAsia"/>
                      <w:sz w:val="21"/>
                      <w:szCs w:val="21"/>
                      <w:lang w:eastAsia="zh-CN"/>
                    </w:rPr>
                  </w:pPr>
                  <w:r>
                    <w:rPr>
                      <w:rFonts w:hint="eastAsia"/>
                      <w:sz w:val="21"/>
                      <w:szCs w:val="21"/>
                      <w:lang w:eastAsia="zh-CN"/>
                    </w:rPr>
                    <w:t>总体布置</w:t>
                  </w:r>
                </w:p>
                <w:p>
                  <w:pPr>
                    <w:keepNext w:val="0"/>
                    <w:keepLines w:val="0"/>
                    <w:pageBreakBefore w:val="0"/>
                    <w:widowControl w:val="0"/>
                    <w:kinsoku/>
                    <w:wordWrap w:val="0"/>
                    <w:overflowPunct/>
                    <w:topLinePunct w:val="0"/>
                    <w:autoSpaceDE w:val="0"/>
                    <w:autoSpaceDN w:val="0"/>
                    <w:bidi w:val="0"/>
                    <w:spacing w:line="240" w:lineRule="auto"/>
                    <w:ind w:left="0" w:leftChars="0" w:firstLine="0" w:firstLineChars="0"/>
                    <w:jc w:val="both"/>
                    <w:textAlignment w:val="auto"/>
                    <w:rPr>
                      <w:rFonts w:hint="eastAsia"/>
                      <w:sz w:val="21"/>
                      <w:szCs w:val="21"/>
                      <w:lang w:eastAsia="zh-CN"/>
                    </w:rPr>
                  </w:pPr>
                  <w:r>
                    <w:rPr>
                      <w:rFonts w:hint="eastAsia"/>
                      <w:sz w:val="21"/>
                      <w:szCs w:val="21"/>
                      <w:lang w:eastAsia="zh-CN"/>
                    </w:rPr>
                    <w:t>①总平面布置应工艺合理、布置紧凑、交通顺畅，便于转运作业；应符合安全、环保、卫生等要求；转运作业区应置于站区主导风向的下风向；车辆出入口应设置在站区远离周边主要环境保护目标的一端；应设置围墙。</w:t>
                  </w:r>
                </w:p>
                <w:p>
                  <w:pPr>
                    <w:pStyle w:val="38"/>
                    <w:keepNext w:val="0"/>
                    <w:keepLines w:val="0"/>
                    <w:pageBreakBefore w:val="0"/>
                    <w:widowControl w:val="0"/>
                    <w:kinsoku/>
                    <w:wordWrap w:val="0"/>
                    <w:overflowPunct/>
                    <w:topLinePunct w:val="0"/>
                    <w:autoSpaceDE w:val="0"/>
                    <w:autoSpaceDN w:val="0"/>
                    <w:bidi w:val="0"/>
                    <w:spacing w:line="240" w:lineRule="auto"/>
                    <w:jc w:val="both"/>
                    <w:textAlignment w:val="auto"/>
                    <w:rPr>
                      <w:rFonts w:hint="eastAsia"/>
                      <w:sz w:val="21"/>
                      <w:szCs w:val="21"/>
                      <w:lang w:eastAsia="zh-CN"/>
                    </w:rPr>
                  </w:pPr>
                  <w:r>
                    <w:rPr>
                      <w:rFonts w:hint="eastAsia"/>
                      <w:sz w:val="21"/>
                      <w:szCs w:val="21"/>
                      <w:lang w:eastAsia="zh-CN"/>
                    </w:rPr>
                    <w:t>②转运车间及卸、装料工位宜布置在场区内远离邻近的建筑物的一侧；转运车间内外卸、装料工位应满足车辆回车要求；转运车间空间与面积均应满足车辆装卸作业要求。</w:t>
                  </w:r>
                </w:p>
                <w:p>
                  <w:pPr>
                    <w:pStyle w:val="29"/>
                    <w:keepNext w:val="0"/>
                    <w:keepLines w:val="0"/>
                    <w:pageBreakBefore w:val="0"/>
                    <w:widowControl w:val="0"/>
                    <w:kinsoku/>
                    <w:wordWrap w:val="0"/>
                    <w:overflowPunct/>
                    <w:topLinePunct w:val="0"/>
                    <w:autoSpaceDE w:val="0"/>
                    <w:autoSpaceDN w:val="0"/>
                    <w:bidi w:val="0"/>
                    <w:spacing w:line="240" w:lineRule="auto"/>
                    <w:ind w:left="0" w:leftChars="0" w:firstLine="0" w:firstLineChars="0"/>
                    <w:jc w:val="both"/>
                    <w:textAlignment w:val="auto"/>
                    <w:rPr>
                      <w:rFonts w:hint="eastAsia"/>
                      <w:sz w:val="21"/>
                      <w:szCs w:val="21"/>
                      <w:lang w:eastAsia="zh-CN"/>
                    </w:rPr>
                  </w:pPr>
                  <w:r>
                    <w:rPr>
                      <w:rFonts w:hint="eastAsia"/>
                      <w:sz w:val="21"/>
                      <w:szCs w:val="21"/>
                      <w:lang w:eastAsia="zh-CN"/>
                    </w:rPr>
                    <w:t>③计量设施应设在转运车辆进出口处，应有良好的通视条件，并应满足通行的相关条件；按各功能区内通行的最大规格车型确定道路转弯半径运作业场地面积；站内宜设置车辆循环通道或采用双车道及回车场；站内垃圾收集车与转运的行车路线应避免交叉。因条件限制必须交叉时应有相应的交通管理安全措施；大中型转运扎应按照转运车辆设计停车场，停车场的形式与面积应与回车场地综合平衡；转运站周边应设置绿化隔离带，大、中型转运站隔离带宽度宜为</w:t>
                  </w:r>
                  <w:r>
                    <w:rPr>
                      <w:rFonts w:hint="eastAsia"/>
                      <w:sz w:val="21"/>
                      <w:szCs w:val="21"/>
                      <w:lang w:val="en-US" w:eastAsia="zh-CN"/>
                    </w:rPr>
                    <w:t>5m~10m；转运站绿地率宜为20%~30%，中型以上（含中型）转运站应取上限值。</w:t>
                  </w:r>
                </w:p>
                <w:p>
                  <w:pPr>
                    <w:keepNext w:val="0"/>
                    <w:keepLines w:val="0"/>
                    <w:pageBreakBefore w:val="0"/>
                    <w:widowControl w:val="0"/>
                    <w:kinsoku/>
                    <w:wordWrap w:val="0"/>
                    <w:overflowPunct/>
                    <w:topLinePunct w:val="0"/>
                    <w:autoSpaceDE w:val="0"/>
                    <w:autoSpaceDN w:val="0"/>
                    <w:bidi w:val="0"/>
                    <w:spacing w:line="240" w:lineRule="auto"/>
                    <w:ind w:left="0" w:leftChars="0" w:firstLine="0" w:firstLineChars="0"/>
                    <w:jc w:val="both"/>
                    <w:textAlignment w:val="auto"/>
                    <w:rPr>
                      <w:rFonts w:hint="default"/>
                      <w:sz w:val="21"/>
                      <w:szCs w:val="21"/>
                      <w:lang w:val="en-US" w:eastAsia="zh-CN"/>
                    </w:rPr>
                  </w:pPr>
                  <w:r>
                    <w:rPr>
                      <w:rFonts w:hint="eastAsia"/>
                      <w:sz w:val="21"/>
                      <w:szCs w:val="21"/>
                      <w:lang w:val="en-US" w:eastAsia="zh-CN"/>
                    </w:rPr>
                    <w:t>④转运站行政办公与生活服务设施用地面积宜为总用地面积的5%~8%，中小型转运站可根据需要设置附属公厕，并应与转运站有效隔离。站内单独建造公厕的用地面积应符合现行行业标准《环境卫生设施设置标准》（CJJ27）的有关规定。</w:t>
                  </w:r>
                </w:p>
              </w:tc>
              <w:tc>
                <w:tcPr>
                  <w:tcW w:w="2069" w:type="pct"/>
                  <w:noWrap w:val="0"/>
                  <w:vAlign w:val="center"/>
                </w:tcPr>
                <w:p>
                  <w:pPr>
                    <w:pStyle w:val="38"/>
                    <w:keepNext w:val="0"/>
                    <w:keepLines w:val="0"/>
                    <w:pageBreakBefore w:val="0"/>
                    <w:widowControl w:val="0"/>
                    <w:kinsoku/>
                    <w:wordWrap w:val="0"/>
                    <w:overflowPunct/>
                    <w:topLinePunct w:val="0"/>
                    <w:autoSpaceDE w:val="0"/>
                    <w:autoSpaceDN w:val="0"/>
                    <w:bidi w:val="0"/>
                    <w:spacing w:line="240" w:lineRule="auto"/>
                    <w:jc w:val="both"/>
                    <w:textAlignment w:val="auto"/>
                    <w:rPr>
                      <w:rFonts w:hint="eastAsia"/>
                      <w:sz w:val="21"/>
                      <w:szCs w:val="21"/>
                      <w:lang w:eastAsia="zh-CN"/>
                    </w:rPr>
                  </w:pPr>
                  <w:r>
                    <w:rPr>
                      <w:rFonts w:hint="eastAsia"/>
                      <w:sz w:val="21"/>
                      <w:szCs w:val="21"/>
                      <w:lang w:eastAsia="zh-CN"/>
                    </w:rPr>
                    <w:t>①本转运站平面布置工艺合理、布置紧凑，符合安全、环卫生等要求；转运作业区位于站区主导风向侧风向；车辆出入口周边为环境保护目标；站区设计要求设置围墙。</w:t>
                  </w:r>
                </w:p>
                <w:p>
                  <w:pPr>
                    <w:keepNext w:val="0"/>
                    <w:keepLines w:val="0"/>
                    <w:pageBreakBefore w:val="0"/>
                    <w:widowControl w:val="0"/>
                    <w:kinsoku/>
                    <w:wordWrap w:val="0"/>
                    <w:overflowPunct/>
                    <w:topLinePunct w:val="0"/>
                    <w:autoSpaceDE w:val="0"/>
                    <w:autoSpaceDN w:val="0"/>
                    <w:bidi w:val="0"/>
                    <w:spacing w:line="240" w:lineRule="auto"/>
                    <w:ind w:left="0" w:leftChars="0" w:firstLine="0" w:firstLineChars="0"/>
                    <w:jc w:val="both"/>
                    <w:textAlignment w:val="auto"/>
                    <w:rPr>
                      <w:rFonts w:hint="eastAsia"/>
                      <w:sz w:val="21"/>
                      <w:szCs w:val="21"/>
                      <w:lang w:eastAsia="zh-CN"/>
                    </w:rPr>
                  </w:pPr>
                  <w:r>
                    <w:rPr>
                      <w:rFonts w:hint="eastAsia"/>
                      <w:sz w:val="21"/>
                      <w:szCs w:val="21"/>
                      <w:lang w:eastAsia="zh-CN"/>
                    </w:rPr>
                    <w:t>②转运站红线外周围无建筑；转运车间内外卸装料空间均满足车辆回车及装卸作业要求。</w:t>
                  </w:r>
                </w:p>
                <w:p>
                  <w:pPr>
                    <w:pStyle w:val="38"/>
                    <w:keepNext w:val="0"/>
                    <w:keepLines w:val="0"/>
                    <w:pageBreakBefore w:val="0"/>
                    <w:widowControl w:val="0"/>
                    <w:kinsoku/>
                    <w:wordWrap w:val="0"/>
                    <w:overflowPunct/>
                    <w:topLinePunct w:val="0"/>
                    <w:autoSpaceDE w:val="0"/>
                    <w:autoSpaceDN w:val="0"/>
                    <w:bidi w:val="0"/>
                    <w:spacing w:line="240" w:lineRule="auto"/>
                    <w:jc w:val="both"/>
                    <w:textAlignment w:val="auto"/>
                    <w:rPr>
                      <w:rFonts w:hint="eastAsia"/>
                      <w:sz w:val="21"/>
                      <w:szCs w:val="21"/>
                      <w:lang w:val="en-US" w:eastAsia="zh-CN"/>
                    </w:rPr>
                  </w:pPr>
                  <w:r>
                    <w:rPr>
                      <w:rFonts w:hint="eastAsia"/>
                      <w:sz w:val="21"/>
                      <w:szCs w:val="21"/>
                      <w:lang w:eastAsia="zh-CN"/>
                    </w:rPr>
                    <w:t>③转运站最近建筑物为东南侧</w:t>
                  </w:r>
                  <w:r>
                    <w:rPr>
                      <w:rFonts w:hint="eastAsia"/>
                      <w:sz w:val="21"/>
                      <w:szCs w:val="21"/>
                      <w:lang w:val="en-US" w:eastAsia="zh-CN"/>
                    </w:rPr>
                    <w:t>880m左右的十里牌村散户</w:t>
                  </w:r>
                </w:p>
                <w:p>
                  <w:pPr>
                    <w:pStyle w:val="29"/>
                    <w:keepNext w:val="0"/>
                    <w:keepLines w:val="0"/>
                    <w:pageBreakBefore w:val="0"/>
                    <w:widowControl w:val="0"/>
                    <w:kinsoku/>
                    <w:wordWrap w:val="0"/>
                    <w:overflowPunct/>
                    <w:topLinePunct w:val="0"/>
                    <w:autoSpaceDE w:val="0"/>
                    <w:autoSpaceDN w:val="0"/>
                    <w:bidi w:val="0"/>
                    <w:spacing w:line="240" w:lineRule="auto"/>
                    <w:ind w:left="0" w:leftChars="0" w:firstLine="0" w:firstLineChars="0"/>
                    <w:jc w:val="both"/>
                    <w:textAlignment w:val="auto"/>
                    <w:rPr>
                      <w:rFonts w:hint="eastAsia"/>
                      <w:sz w:val="21"/>
                      <w:szCs w:val="21"/>
                      <w:lang w:val="en-US" w:eastAsia="zh-CN"/>
                    </w:rPr>
                  </w:pPr>
                  <w:r>
                    <w:rPr>
                      <w:rFonts w:hint="eastAsia"/>
                      <w:sz w:val="21"/>
                      <w:szCs w:val="21"/>
                      <w:lang w:val="en-US" w:eastAsia="zh-CN"/>
                    </w:rPr>
                    <w:t>④转运站总占地面积6322.91</w:t>
                  </w:r>
                  <w:r>
                    <w:rPr>
                      <w:sz w:val="21"/>
                      <w:szCs w:val="21"/>
                    </w:rPr>
                    <w:t>m2</w:t>
                  </w:r>
                  <w:r>
                    <w:rPr>
                      <w:rFonts w:hint="eastAsia"/>
                      <w:sz w:val="21"/>
                      <w:szCs w:val="21"/>
                      <w:lang w:eastAsia="zh-CN"/>
                    </w:rPr>
                    <w:t>，业务楼及其他生活服务设施用地按面积约为</w:t>
                  </w:r>
                  <w:r>
                    <w:rPr>
                      <w:rFonts w:hint="eastAsia"/>
                      <w:sz w:val="21"/>
                      <w:szCs w:val="21"/>
                      <w:lang w:val="en-US" w:eastAsia="zh-CN"/>
                    </w:rPr>
                    <w:t>500m2，占总用地面积7.9%；站内公厕设置在业务楼与转运站有个例，其建设符合《环境卫生设施设置标准》（CJJ27）的有关规定</w:t>
                  </w:r>
                </w:p>
                <w:p>
                  <w:pPr>
                    <w:rPr>
                      <w:rFonts w:hint="default"/>
                      <w:sz w:val="21"/>
                      <w:szCs w:val="21"/>
                      <w:lang w:val="en-US" w:eastAsia="zh-CN"/>
                    </w:rPr>
                  </w:pPr>
                </w:p>
              </w:tc>
              <w:tc>
                <w:tcPr>
                  <w:tcW w:w="554" w:type="pct"/>
                  <w:noWrap w:val="0"/>
                  <w:vAlign w:val="center"/>
                </w:tcPr>
                <w:p>
                  <w:pPr>
                    <w:pStyle w:val="38"/>
                    <w:bidi w:val="0"/>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46" w:type="pct"/>
                  <w:noWrap w:val="0"/>
                  <w:vAlign w:val="center"/>
                </w:tcPr>
                <w:p>
                  <w:pPr>
                    <w:pStyle w:val="38"/>
                    <w:bidi w:val="0"/>
                    <w:rPr>
                      <w:rFonts w:hint="eastAsia" w:eastAsia="宋体"/>
                      <w:sz w:val="21"/>
                      <w:szCs w:val="21"/>
                      <w:lang w:val="en-US" w:eastAsia="zh-CN"/>
                    </w:rPr>
                  </w:pPr>
                  <w:r>
                    <w:rPr>
                      <w:rFonts w:hint="eastAsia"/>
                      <w:sz w:val="21"/>
                      <w:szCs w:val="21"/>
                      <w:lang w:val="en-US" w:eastAsia="zh-CN"/>
                    </w:rPr>
                    <w:t>4</w:t>
                  </w:r>
                </w:p>
              </w:tc>
              <w:tc>
                <w:tcPr>
                  <w:tcW w:w="2029" w:type="pct"/>
                  <w:noWrap w:val="0"/>
                  <w:vAlign w:val="center"/>
                </w:tcPr>
                <w:p>
                  <w:pPr>
                    <w:keepNext w:val="0"/>
                    <w:keepLines w:val="0"/>
                    <w:pageBreakBefore w:val="0"/>
                    <w:widowControl w:val="0"/>
                    <w:kinsoku/>
                    <w:wordWrap w:val="0"/>
                    <w:overflowPunct/>
                    <w:topLinePunct w:val="0"/>
                    <w:autoSpaceDE w:val="0"/>
                    <w:autoSpaceDN w:val="0"/>
                    <w:bidi w:val="0"/>
                    <w:spacing w:line="240" w:lineRule="auto"/>
                    <w:ind w:left="0" w:leftChars="0" w:firstLine="0" w:firstLineChars="0"/>
                    <w:jc w:val="both"/>
                    <w:textAlignment w:val="auto"/>
                    <w:rPr>
                      <w:rFonts w:hint="eastAsia"/>
                      <w:sz w:val="21"/>
                      <w:szCs w:val="21"/>
                      <w:lang w:val="en-US" w:eastAsia="zh-CN"/>
                    </w:rPr>
                  </w:pPr>
                  <w:r>
                    <w:rPr>
                      <w:rFonts w:hint="eastAsia"/>
                      <w:sz w:val="21"/>
                      <w:szCs w:val="21"/>
                      <w:lang w:val="en-US" w:eastAsia="zh-CN"/>
                    </w:rPr>
                    <w:t>工艺、设备及技术要求</w:t>
                  </w:r>
                </w:p>
                <w:p>
                  <w:pPr>
                    <w:pStyle w:val="38"/>
                    <w:bidi w:val="0"/>
                    <w:jc w:val="both"/>
                    <w:rPr>
                      <w:rFonts w:hint="eastAsia"/>
                      <w:lang w:val="en-US" w:eastAsia="zh-CN"/>
                    </w:rPr>
                  </w:pPr>
                  <w:r>
                    <w:rPr>
                      <w:rFonts w:hint="eastAsia"/>
                      <w:lang w:val="en-US" w:eastAsia="zh-CN"/>
                    </w:rPr>
                    <w:t>①垃圾物流转运应顺畅；垃圾应减少裸露时间；应提高设备工作效率，降低能耗及降低作业安全卫生风险，减轻环卫工人劳动作业强度。</w:t>
                  </w:r>
                </w:p>
                <w:p>
                  <w:pPr>
                    <w:pStyle w:val="38"/>
                    <w:bidi w:val="0"/>
                    <w:jc w:val="both"/>
                    <w:rPr>
                      <w:rFonts w:hint="eastAsia"/>
                      <w:lang w:val="en-US" w:eastAsia="zh-CN"/>
                    </w:rPr>
                  </w:pPr>
                  <w:r>
                    <w:rPr>
                      <w:rFonts w:hint="eastAsia"/>
                      <w:lang w:val="en-US" w:eastAsia="zh-CN"/>
                    </w:rPr>
                    <w:t>②除V类小型站以外，转运站的转运单元数不少于2个，以保证转运作业的连续性与事故状态下或出现突发事件时的转运能力。</w:t>
                  </w:r>
                </w:p>
                <w:p>
                  <w:pPr>
                    <w:pStyle w:val="38"/>
                    <w:bidi w:val="0"/>
                    <w:jc w:val="both"/>
                    <w:rPr>
                      <w:rFonts w:hint="eastAsia"/>
                      <w:lang w:val="en-US" w:eastAsia="zh-CN"/>
                    </w:rPr>
                  </w:pPr>
                  <w:r>
                    <w:rPr>
                      <w:rFonts w:hint="eastAsia"/>
                      <w:lang w:val="en-US" w:eastAsia="zh-CN"/>
                    </w:rPr>
                    <w:t>③转运站应采用机械填装垃圾的方式进料，转运时应有相应的措施将装载容器填满垃圾并压实；应有联动或限位装置，保持填装压实机与受料容器结合部密封良好。</w:t>
                  </w:r>
                </w:p>
                <w:p>
                  <w:pPr>
                    <w:pStyle w:val="38"/>
                    <w:bidi w:val="0"/>
                    <w:jc w:val="both"/>
                    <w:rPr>
                      <w:rFonts w:hint="default"/>
                      <w:szCs w:val="21"/>
                      <w:lang w:val="en-US" w:eastAsia="zh-CN"/>
                    </w:rPr>
                  </w:pPr>
                  <w:r>
                    <w:rPr>
                      <w:rFonts w:hint="eastAsia"/>
                      <w:lang w:val="en-US" w:eastAsia="zh-CN"/>
                    </w:rPr>
                    <w:t>④转运站在技术工艺上，应进行垃圾来源、运输单位及车辆型号、规格登记；大中型转运站应设置垃圾称重计量装置，计量设备宜选用动态汽车平衡，运输车辆进站处或计量设施处应设置车号自动识别系统，并应设置进站垃圾运输车辆停车抽样检查区；大、中型转运站应设置洗车装置；垃圾卸料、转运作业区应配置通风、除尘、除臭系统，并保持该系统与车辆卸料动作联动。</w:t>
                  </w:r>
                </w:p>
              </w:tc>
              <w:tc>
                <w:tcPr>
                  <w:tcW w:w="2069" w:type="pct"/>
                  <w:noWrap w:val="0"/>
                  <w:vAlign w:val="center"/>
                </w:tcPr>
                <w:p>
                  <w:pPr>
                    <w:pStyle w:val="38"/>
                    <w:bidi w:val="0"/>
                    <w:jc w:val="both"/>
                    <w:rPr>
                      <w:rFonts w:hint="eastAsia"/>
                      <w:lang w:val="en-US" w:eastAsia="zh-CN"/>
                    </w:rPr>
                  </w:pPr>
                  <w:r>
                    <w:rPr>
                      <w:rFonts w:hint="eastAsia"/>
                      <w:lang w:val="en-US" w:eastAsia="zh-CN"/>
                    </w:rPr>
                    <w:t>①根据场内设计图纸，垃圾物流转运应顺畅；垃圾密闭运输，到达垃圾转运站后密闭压缩，垃圾裸露时间极少；本项目采用高效垃圾压缩机，极大的降低了能耗及工人的作业强度。</w:t>
                  </w:r>
                </w:p>
                <w:p>
                  <w:pPr>
                    <w:pStyle w:val="38"/>
                    <w:bidi w:val="0"/>
                    <w:jc w:val="both"/>
                    <w:rPr>
                      <w:rFonts w:hint="eastAsia"/>
                      <w:lang w:val="en-US" w:eastAsia="zh-CN"/>
                    </w:rPr>
                  </w:pPr>
                  <w:r>
                    <w:rPr>
                      <w:rFonts w:hint="eastAsia"/>
                      <w:lang w:val="en-US" w:eastAsia="zh-CN"/>
                    </w:rPr>
                    <w:t>②本项目属于中型垃圾转运站，配备有两个压缩机；</w:t>
                  </w:r>
                </w:p>
                <w:p>
                  <w:pPr>
                    <w:pStyle w:val="38"/>
                    <w:bidi w:val="0"/>
                    <w:jc w:val="both"/>
                    <w:rPr>
                      <w:rFonts w:hint="eastAsia"/>
                      <w:lang w:val="en-US" w:eastAsia="zh-CN"/>
                    </w:rPr>
                  </w:pPr>
                  <w:r>
                    <w:rPr>
                      <w:rFonts w:hint="eastAsia"/>
                      <w:lang w:val="en-US" w:eastAsia="zh-CN"/>
                    </w:rPr>
                    <w:t>③本项目采用机械填料</w:t>
                  </w:r>
                </w:p>
                <w:p>
                  <w:pPr>
                    <w:pStyle w:val="38"/>
                    <w:bidi w:val="0"/>
                    <w:jc w:val="both"/>
                    <w:rPr>
                      <w:rFonts w:hint="default"/>
                      <w:lang w:val="en-US" w:eastAsia="zh-CN"/>
                    </w:rPr>
                  </w:pPr>
                  <w:r>
                    <w:rPr>
                      <w:rFonts w:hint="eastAsia"/>
                      <w:lang w:val="en-US" w:eastAsia="zh-CN"/>
                    </w:rPr>
                    <w:t>④本项目在厂区出入口设有门卫，及时对出入车辆等信息进行登记；本项目属于中型垃圾转运站，配备有洗车房，工作区域配备有除尘除臭设备，保证除尘除臭系统与车辆卸料动作联动。</w:t>
                  </w:r>
                </w:p>
              </w:tc>
              <w:tc>
                <w:tcPr>
                  <w:tcW w:w="554" w:type="pct"/>
                  <w:noWrap w:val="0"/>
                  <w:vAlign w:val="center"/>
                </w:tcPr>
                <w:p>
                  <w:pPr>
                    <w:pStyle w:val="38"/>
                    <w:bidi w:val="0"/>
                    <w:rPr>
                      <w:rFonts w:hint="eastAsia" w:eastAsia="宋体"/>
                      <w:sz w:val="21"/>
                      <w:szCs w:val="21"/>
                      <w:lang w:eastAsia="zh-CN"/>
                    </w:rPr>
                  </w:pPr>
                  <w:r>
                    <w:rPr>
                      <w:rFonts w:hint="eastAsia"/>
                      <w:sz w:val="21"/>
                      <w:szCs w:val="21"/>
                      <w:lang w:eastAsia="zh-CN"/>
                    </w:rPr>
                    <w:t>符合</w:t>
                  </w:r>
                </w:p>
              </w:tc>
            </w:tr>
          </w:tbl>
          <w:p>
            <w:pPr>
              <w:rPr>
                <w:rFonts w:ascii="Times New Roman" w:hAnsi="Times New Roman"/>
                <w:sz w:val="24"/>
              </w:rPr>
            </w:pPr>
            <w:r>
              <w:rPr>
                <w:rFonts w:ascii="Times New Roman" w:hAnsi="Times New Roman"/>
                <w:sz w:val="24"/>
              </w:rPr>
              <w:t>综上，本项目符合《生活垃圾转运站技术规范》（GJJ/T47-2016）中规定的要求。</w:t>
            </w:r>
          </w:p>
          <w:p>
            <w:pPr>
              <w:pStyle w:val="8"/>
              <w:bidi w:val="0"/>
              <w:ind w:left="0" w:leftChars="0" w:firstLine="0" w:firstLineChars="0"/>
              <w:rPr>
                <w:rFonts w:ascii="Times New Roman" w:hAnsi="Times New Roman"/>
                <w:b/>
                <w:bCs/>
                <w:snapToGrid w:val="0"/>
                <w:kern w:val="0"/>
                <w:szCs w:val="24"/>
              </w:rPr>
            </w:pPr>
            <w:r>
              <w:rPr>
                <w:rFonts w:hint="eastAsia"/>
                <w:b/>
                <w:bCs/>
                <w:lang w:val="en-US" w:eastAsia="zh-CN"/>
              </w:rPr>
              <w:t>1.5</w:t>
            </w:r>
            <w:r>
              <w:rPr>
                <w:b/>
                <w:bCs/>
              </w:rPr>
              <w:t>与《环境卫生设施设置标准》（CJJ27-2012）符合性分析</w:t>
            </w:r>
          </w:p>
          <w:p>
            <w:pPr>
              <w:adjustRightInd w:val="0"/>
              <w:snapToGrid w:val="0"/>
              <w:spacing w:line="360" w:lineRule="auto"/>
              <w:ind w:firstLine="480" w:firstLineChars="200"/>
              <w:rPr>
                <w:rFonts w:ascii="Times New Roman" w:hAnsi="Times New Roman"/>
                <w:snapToGrid w:val="0"/>
                <w:kern w:val="0"/>
                <w:sz w:val="24"/>
                <w:szCs w:val="24"/>
              </w:rPr>
            </w:pPr>
            <w:r>
              <w:rPr>
                <w:rFonts w:ascii="Times New Roman" w:hAnsi="Times New Roman"/>
                <w:snapToGrid w:val="0"/>
                <w:kern w:val="0"/>
                <w:sz w:val="24"/>
                <w:szCs w:val="24"/>
              </w:rPr>
              <w:t>本项目垃圾中转站</w:t>
            </w:r>
            <w:r>
              <w:rPr>
                <w:rFonts w:ascii="Times New Roman" w:hAnsi="Times New Roman"/>
                <w:snapToGrid w:val="0"/>
                <w:kern w:val="0"/>
                <w:sz w:val="24"/>
                <w:szCs w:val="24"/>
                <w:lang w:val="zh-CN"/>
              </w:rPr>
              <w:t>属于</w:t>
            </w:r>
            <w:r>
              <w:rPr>
                <w:rFonts w:hint="eastAsia" w:ascii="Times New Roman" w:hAnsi="Times New Roman"/>
                <w:snapToGrid w:val="0"/>
                <w:kern w:val="0"/>
                <w:sz w:val="24"/>
                <w:szCs w:val="24"/>
                <w:lang w:val="zh-CN"/>
              </w:rPr>
              <w:t>Ⅲ</w:t>
            </w:r>
            <w:r>
              <w:rPr>
                <w:rFonts w:ascii="Times New Roman" w:hAnsi="Times New Roman"/>
                <w:snapToGrid w:val="0"/>
                <w:kern w:val="0"/>
                <w:sz w:val="24"/>
                <w:szCs w:val="24"/>
                <w:lang w:val="zh-CN"/>
              </w:rPr>
              <w:t>类</w:t>
            </w:r>
            <w:r>
              <w:rPr>
                <w:rFonts w:hint="eastAsia"/>
                <w:snapToGrid w:val="0"/>
                <w:kern w:val="0"/>
                <w:sz w:val="24"/>
                <w:szCs w:val="24"/>
                <w:lang w:val="zh-CN"/>
              </w:rPr>
              <w:t>中型</w:t>
            </w:r>
            <w:r>
              <w:rPr>
                <w:rFonts w:ascii="Times New Roman" w:hAnsi="Times New Roman"/>
                <w:snapToGrid w:val="0"/>
                <w:kern w:val="0"/>
                <w:sz w:val="24"/>
                <w:szCs w:val="24"/>
                <w:lang w:val="zh-CN"/>
              </w:rPr>
              <w:t>转运站</w:t>
            </w:r>
            <w:r>
              <w:rPr>
                <w:rFonts w:ascii="Times New Roman" w:hAnsi="Times New Roman"/>
                <w:snapToGrid w:val="0"/>
                <w:kern w:val="0"/>
                <w:sz w:val="24"/>
                <w:szCs w:val="24"/>
              </w:rPr>
              <w:t>，与《环境卫生设施设置标准》（CJJ27-2012）其符合性分析见表</w:t>
            </w:r>
            <w:r>
              <w:rPr>
                <w:rFonts w:hint="eastAsia"/>
                <w:snapToGrid w:val="0"/>
                <w:kern w:val="0"/>
                <w:sz w:val="24"/>
                <w:szCs w:val="24"/>
                <w:lang w:val="en-US" w:eastAsia="zh-CN"/>
              </w:rPr>
              <w:t>1-4</w:t>
            </w:r>
            <w:r>
              <w:rPr>
                <w:rFonts w:ascii="Times New Roman" w:hAnsi="Times New Roman"/>
                <w:snapToGrid w:val="0"/>
                <w:kern w:val="0"/>
                <w:sz w:val="24"/>
                <w:szCs w:val="24"/>
              </w:rPr>
              <w:t>所示。</w:t>
            </w:r>
          </w:p>
          <w:p>
            <w:pPr>
              <w:pStyle w:val="45"/>
              <w:bidi w:val="0"/>
              <w:rPr>
                <w:rFonts w:ascii="Times New Roman" w:hAnsi="Times New Roman"/>
                <w:b/>
                <w:snapToGrid w:val="0"/>
                <w:kern w:val="0"/>
                <w:szCs w:val="21"/>
              </w:rPr>
            </w:pPr>
            <w:r>
              <w:t>表</w:t>
            </w:r>
            <w:r>
              <w:rPr>
                <w:rFonts w:hint="eastAsia"/>
                <w:lang w:val="en-US" w:eastAsia="zh-CN"/>
              </w:rPr>
              <w:t>1</w:t>
            </w:r>
            <w:r>
              <w:t>-4  项目与《环境卫生设施设置标准》（CJJ27-2012）符合性分析</w:t>
            </w:r>
          </w:p>
          <w:tbl>
            <w:tblPr>
              <w:tblStyle w:val="31"/>
              <w:tblW w:w="48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3240"/>
              <w:gridCol w:w="3675"/>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245" w:type="pct"/>
                  <w:noWrap w:val="0"/>
                  <w:vAlign w:val="center"/>
                </w:tcPr>
                <w:p>
                  <w:pPr>
                    <w:pStyle w:val="38"/>
                    <w:bidi w:val="0"/>
                  </w:pPr>
                  <w:r>
                    <w:t>序号</w:t>
                  </w:r>
                </w:p>
              </w:tc>
              <w:tc>
                <w:tcPr>
                  <w:tcW w:w="1966" w:type="pct"/>
                  <w:noWrap w:val="0"/>
                  <w:vAlign w:val="center"/>
                </w:tcPr>
                <w:p>
                  <w:pPr>
                    <w:pStyle w:val="38"/>
                    <w:bidi w:val="0"/>
                  </w:pPr>
                  <w:r>
                    <w:t>标准要求</w:t>
                  </w:r>
                </w:p>
              </w:tc>
              <w:tc>
                <w:tcPr>
                  <w:tcW w:w="2230" w:type="pct"/>
                  <w:noWrap w:val="0"/>
                  <w:vAlign w:val="center"/>
                </w:tcPr>
                <w:p>
                  <w:pPr>
                    <w:pStyle w:val="38"/>
                    <w:bidi w:val="0"/>
                  </w:pPr>
                  <w:r>
                    <w:t>本项目情况</w:t>
                  </w:r>
                </w:p>
              </w:tc>
              <w:tc>
                <w:tcPr>
                  <w:tcW w:w="557" w:type="pct"/>
                  <w:noWrap w:val="0"/>
                  <w:vAlign w:val="center"/>
                </w:tcPr>
                <w:p>
                  <w:pPr>
                    <w:pStyle w:val="38"/>
                    <w:bidi w:val="0"/>
                  </w:pPr>
                  <w:r>
                    <w:t>是否符合标准要求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45" w:type="pct"/>
                  <w:noWrap w:val="0"/>
                  <w:vAlign w:val="center"/>
                </w:tcPr>
                <w:p>
                  <w:pPr>
                    <w:pStyle w:val="38"/>
                    <w:bidi w:val="0"/>
                  </w:pPr>
                  <w:r>
                    <w:rPr>
                      <w:rFonts w:hint="eastAsia"/>
                    </w:rPr>
                    <w:t>1</w:t>
                  </w:r>
                </w:p>
              </w:tc>
              <w:tc>
                <w:tcPr>
                  <w:tcW w:w="1966" w:type="pct"/>
                  <w:noWrap w:val="0"/>
                  <w:vAlign w:val="center"/>
                </w:tcPr>
                <w:p>
                  <w:pPr>
                    <w:pStyle w:val="38"/>
                    <w:bidi w:val="0"/>
                  </w:pPr>
                  <w:r>
                    <w:t>环境卫生设施的设置应符合城乡规划</w:t>
                  </w:r>
                </w:p>
              </w:tc>
              <w:tc>
                <w:tcPr>
                  <w:tcW w:w="2230" w:type="pct"/>
                  <w:noWrap w:val="0"/>
                  <w:vAlign w:val="center"/>
                </w:tcPr>
                <w:p>
                  <w:pPr>
                    <w:pStyle w:val="38"/>
                    <w:bidi w:val="0"/>
                  </w:pPr>
                  <w:r>
                    <w:rPr>
                      <w:rFonts w:hint="eastAsia"/>
                    </w:rPr>
                    <w:t>本项目符合城乡规划，已取得建设项目用地预审与选址意见书</w:t>
                  </w:r>
                </w:p>
              </w:tc>
              <w:tc>
                <w:tcPr>
                  <w:tcW w:w="557" w:type="pct"/>
                  <w:noWrap w:val="0"/>
                  <w:vAlign w:val="center"/>
                </w:tcPr>
                <w:p>
                  <w:pPr>
                    <w:pStyle w:val="38"/>
                    <w:bidi w:val="0"/>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45" w:type="pct"/>
                  <w:noWrap w:val="0"/>
                  <w:vAlign w:val="center"/>
                </w:tcPr>
                <w:p>
                  <w:pPr>
                    <w:pStyle w:val="38"/>
                    <w:bidi w:val="0"/>
                  </w:pPr>
                  <w:r>
                    <w:rPr>
                      <w:rFonts w:hint="eastAsia"/>
                    </w:rPr>
                    <w:t>2</w:t>
                  </w:r>
                </w:p>
              </w:tc>
              <w:tc>
                <w:tcPr>
                  <w:tcW w:w="1966" w:type="pct"/>
                  <w:noWrap w:val="0"/>
                  <w:vAlign w:val="center"/>
                </w:tcPr>
                <w:p>
                  <w:pPr>
                    <w:pStyle w:val="38"/>
                    <w:bidi w:val="0"/>
                  </w:pPr>
                  <w:r>
                    <w:t>环境卫生工程设施应根据安全、环保、经济的原则选址，并应设置在交通运输方便、市政条件较好并对周边居民影响较小的地区</w:t>
                  </w:r>
                </w:p>
              </w:tc>
              <w:tc>
                <w:tcPr>
                  <w:tcW w:w="2230" w:type="pct"/>
                  <w:noWrap w:val="0"/>
                  <w:vAlign w:val="center"/>
                </w:tcPr>
                <w:p>
                  <w:pPr>
                    <w:pStyle w:val="38"/>
                    <w:bidi w:val="0"/>
                  </w:pPr>
                  <w:r>
                    <w:t>本项目垃圾中转站</w:t>
                  </w:r>
                  <w:r>
                    <w:rPr>
                      <w:rFonts w:hint="eastAsia"/>
                    </w:rPr>
                    <w:t>拟建地</w:t>
                  </w:r>
                  <w:r>
                    <w:t>交通便利，运输方便，</w:t>
                  </w:r>
                  <w:r>
                    <w:rPr>
                      <w:rFonts w:hint="eastAsia"/>
                    </w:rPr>
                    <w:t>项目</w:t>
                  </w:r>
                  <w:r>
                    <w:rPr>
                      <w:rFonts w:hint="eastAsia"/>
                      <w:lang w:eastAsia="zh-CN"/>
                    </w:rPr>
                    <w:t>西</w:t>
                  </w:r>
                  <w:r>
                    <w:rPr>
                      <w:rFonts w:hint="eastAsia"/>
                    </w:rPr>
                    <w:t>侧</w:t>
                  </w:r>
                  <w:r>
                    <w:rPr>
                      <w:rFonts w:hint="eastAsia"/>
                      <w:lang w:eastAsia="zh-CN"/>
                    </w:rPr>
                    <w:t>靠近</w:t>
                  </w:r>
                  <w:r>
                    <w:rPr>
                      <w:rFonts w:hint="eastAsia"/>
                      <w:lang w:val="en-US" w:eastAsia="zh-CN"/>
                    </w:rPr>
                    <w:t>G209国道</w:t>
                  </w:r>
                  <w:r>
                    <w:rPr>
                      <w:rFonts w:hint="eastAsia"/>
                      <w:lang w:eastAsia="zh-CN"/>
                    </w:rPr>
                    <w:t>且周围无居民</w:t>
                  </w:r>
                  <w:r>
                    <w:rPr>
                      <w:rFonts w:hint="eastAsia"/>
                      <w:lang w:val="zh-CN"/>
                    </w:rPr>
                    <w:t>因此，本项目基本对</w:t>
                  </w:r>
                  <w:r>
                    <w:rPr>
                      <w:rFonts w:hint="eastAsia"/>
                    </w:rPr>
                    <w:t>周边</w:t>
                  </w:r>
                  <w:r>
                    <w:rPr>
                      <w:rFonts w:hint="eastAsia"/>
                      <w:lang w:eastAsia="zh-CN"/>
                    </w:rPr>
                    <w:t>环境</w:t>
                  </w:r>
                  <w:r>
                    <w:rPr>
                      <w:rFonts w:hint="eastAsia"/>
                    </w:rPr>
                    <w:t>无影响</w:t>
                  </w:r>
                </w:p>
              </w:tc>
              <w:tc>
                <w:tcPr>
                  <w:tcW w:w="557" w:type="pct"/>
                  <w:noWrap w:val="0"/>
                  <w:vAlign w:val="center"/>
                </w:tcPr>
                <w:p>
                  <w:pPr>
                    <w:pStyle w:val="38"/>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45" w:type="pct"/>
                  <w:noWrap w:val="0"/>
                  <w:vAlign w:val="center"/>
                </w:tcPr>
                <w:p>
                  <w:pPr>
                    <w:pStyle w:val="38"/>
                    <w:bidi w:val="0"/>
                  </w:pPr>
                  <w:r>
                    <w:rPr>
                      <w:rFonts w:hint="eastAsia"/>
                    </w:rPr>
                    <w:t>3</w:t>
                  </w:r>
                </w:p>
              </w:tc>
              <w:tc>
                <w:tcPr>
                  <w:tcW w:w="1966" w:type="pct"/>
                  <w:noWrap w:val="0"/>
                  <w:vAlign w:val="center"/>
                </w:tcPr>
                <w:p>
                  <w:pPr>
                    <w:pStyle w:val="38"/>
                    <w:bidi w:val="0"/>
                  </w:pPr>
                  <w:r>
                    <w:rPr>
                      <w:rFonts w:hint="eastAsia" w:ascii="宋体" w:hAnsi="宋体" w:eastAsia="宋体" w:cs="宋体"/>
                    </w:rPr>
                    <w:t>Ⅲ</w:t>
                  </w:r>
                  <w:r>
                    <w:t>类转运站距离站外相邻建筑距离&gt;</w:t>
                  </w:r>
                  <w:r>
                    <w:rPr>
                      <w:rFonts w:hint="eastAsia"/>
                      <w:lang w:val="en-US" w:eastAsia="zh-CN"/>
                    </w:rPr>
                    <w:t>15</w:t>
                  </w:r>
                  <w:r>
                    <w:t>m</w:t>
                  </w:r>
                </w:p>
              </w:tc>
              <w:tc>
                <w:tcPr>
                  <w:tcW w:w="2230" w:type="pct"/>
                  <w:noWrap w:val="0"/>
                  <w:vAlign w:val="center"/>
                </w:tcPr>
                <w:p>
                  <w:pPr>
                    <w:pStyle w:val="38"/>
                    <w:bidi w:val="0"/>
                    <w:rPr>
                      <w:rFonts w:hint="eastAsia" w:eastAsia="宋体"/>
                      <w:lang w:val="zh-CN" w:eastAsia="zh-CN"/>
                    </w:rPr>
                  </w:pPr>
                  <w:r>
                    <w:rPr>
                      <w:rFonts w:hint="eastAsia"/>
                      <w:lang w:eastAsia="zh-CN"/>
                    </w:rPr>
                    <w:t>转运站周围无建筑</w:t>
                  </w:r>
                </w:p>
              </w:tc>
              <w:tc>
                <w:tcPr>
                  <w:tcW w:w="557" w:type="pct"/>
                  <w:noWrap w:val="0"/>
                  <w:vAlign w:val="center"/>
                </w:tcPr>
                <w:p>
                  <w:pPr>
                    <w:pStyle w:val="38"/>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245" w:type="pct"/>
                  <w:noWrap w:val="0"/>
                  <w:vAlign w:val="center"/>
                </w:tcPr>
                <w:p>
                  <w:pPr>
                    <w:pStyle w:val="38"/>
                    <w:bidi w:val="0"/>
                  </w:pPr>
                  <w:r>
                    <w:rPr>
                      <w:rFonts w:hint="eastAsia"/>
                    </w:rPr>
                    <w:t>4</w:t>
                  </w:r>
                </w:p>
              </w:tc>
              <w:tc>
                <w:tcPr>
                  <w:tcW w:w="1966" w:type="pct"/>
                  <w:noWrap w:val="0"/>
                  <w:vAlign w:val="center"/>
                </w:tcPr>
                <w:p>
                  <w:pPr>
                    <w:pStyle w:val="38"/>
                    <w:bidi w:val="0"/>
                  </w:pPr>
                  <w:r>
                    <w:t>垃圾转运站外形应美观，并应与周围环境相协调，应采用</w:t>
                  </w:r>
                  <w:r>
                    <w:rPr>
                      <w:rFonts w:hint="eastAsia"/>
                    </w:rPr>
                    <w:t>先进</w:t>
                  </w:r>
                  <w:r>
                    <w:t>设备，作业时应能实现封闭、减容、压缩；飘尘、噪声、臭气、排水等指标应符合国家相关环境保护标准要求</w:t>
                  </w:r>
                </w:p>
              </w:tc>
              <w:tc>
                <w:tcPr>
                  <w:tcW w:w="2230" w:type="pct"/>
                  <w:noWrap w:val="0"/>
                  <w:vAlign w:val="center"/>
                </w:tcPr>
                <w:p>
                  <w:pPr>
                    <w:pStyle w:val="38"/>
                    <w:bidi w:val="0"/>
                  </w:pPr>
                  <w:r>
                    <w:t>本项目</w:t>
                  </w:r>
                  <w:r>
                    <w:rPr>
                      <w:rFonts w:hint="eastAsia"/>
                      <w:lang w:eastAsia="zh-CN"/>
                    </w:rPr>
                    <w:t>使用先进的整体式垃圾压缩机，该设备臭气散发少，无二次污染</w:t>
                  </w:r>
                  <w:r>
                    <w:t>，</w:t>
                  </w:r>
                  <w:r>
                    <w:rPr>
                      <w:rFonts w:hint="eastAsia"/>
                      <w:lang w:eastAsia="zh-CN"/>
                    </w:rPr>
                    <w:t>且卸料压缩区域工作时为密闭状态，配备有抽气除尘设备</w:t>
                  </w:r>
                  <w:r>
                    <w:rPr>
                      <w:rFonts w:hint="eastAsia"/>
                    </w:rPr>
                    <w:t>，</w:t>
                  </w:r>
                  <w:r>
                    <w:t>对周边环境影响较小，能满足国家环保要求</w:t>
                  </w:r>
                </w:p>
              </w:tc>
              <w:tc>
                <w:tcPr>
                  <w:tcW w:w="557" w:type="pct"/>
                  <w:noWrap w:val="0"/>
                  <w:vAlign w:val="center"/>
                </w:tcPr>
                <w:p>
                  <w:pPr>
                    <w:pStyle w:val="38"/>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45" w:type="pct"/>
                  <w:noWrap w:val="0"/>
                  <w:vAlign w:val="center"/>
                </w:tcPr>
                <w:p>
                  <w:pPr>
                    <w:pStyle w:val="38"/>
                    <w:bidi w:val="0"/>
                  </w:pPr>
                  <w:r>
                    <w:rPr>
                      <w:rFonts w:hint="eastAsia"/>
                    </w:rPr>
                    <w:t>5</w:t>
                  </w:r>
                </w:p>
              </w:tc>
              <w:tc>
                <w:tcPr>
                  <w:tcW w:w="1966" w:type="pct"/>
                  <w:noWrap w:val="0"/>
                  <w:vAlign w:val="center"/>
                </w:tcPr>
                <w:p>
                  <w:pPr>
                    <w:pStyle w:val="38"/>
                    <w:bidi w:val="0"/>
                  </w:pPr>
                  <w:r>
                    <w:t>转运作业区退界距离&gt;3m</w:t>
                  </w:r>
                </w:p>
              </w:tc>
              <w:tc>
                <w:tcPr>
                  <w:tcW w:w="2230" w:type="pct"/>
                  <w:noWrap w:val="0"/>
                  <w:vAlign w:val="center"/>
                </w:tcPr>
                <w:p>
                  <w:pPr>
                    <w:pStyle w:val="38"/>
                    <w:bidi w:val="0"/>
                  </w:pPr>
                  <w:r>
                    <w:t>本项目垃圾中转站</w:t>
                  </w:r>
                  <w:r>
                    <w:rPr>
                      <w:rFonts w:hint="eastAsia"/>
                    </w:rPr>
                    <w:t>转运作业区退界距离&gt;3m</w:t>
                  </w:r>
                </w:p>
              </w:tc>
              <w:tc>
                <w:tcPr>
                  <w:tcW w:w="557" w:type="pct"/>
                  <w:noWrap w:val="0"/>
                  <w:vAlign w:val="center"/>
                </w:tcPr>
                <w:p>
                  <w:pPr>
                    <w:pStyle w:val="38"/>
                    <w:bidi w:val="0"/>
                  </w:pPr>
                  <w:r>
                    <w:t>符合</w:t>
                  </w:r>
                </w:p>
              </w:tc>
            </w:tr>
          </w:tbl>
          <w:p>
            <w:pPr>
              <w:pStyle w:val="8"/>
              <w:bidi w:val="0"/>
              <w:ind w:left="0" w:leftChars="0" w:firstLine="0" w:firstLineChars="0"/>
              <w:rPr>
                <w:rFonts w:hint="eastAsia"/>
                <w:b/>
                <w:bCs/>
                <w:u w:val="single"/>
                <w:lang w:val="en-US" w:eastAsia="zh-CN"/>
              </w:rPr>
            </w:pPr>
            <w:r>
              <w:rPr>
                <w:rFonts w:hint="eastAsia"/>
                <w:b/>
                <w:bCs/>
                <w:u w:val="single"/>
                <w:lang w:val="en-US" w:eastAsia="zh-CN"/>
              </w:rPr>
              <w:t>1.6与《生活垃圾转运站工程项目建设标准》（建标117—2009）的符合性分析</w:t>
            </w:r>
          </w:p>
          <w:p>
            <w:pPr>
              <w:bidi w:val="0"/>
              <w:rPr>
                <w:rFonts w:hint="eastAsia"/>
                <w:u w:val="single"/>
                <w:lang w:val="en-US" w:eastAsia="zh-CN"/>
              </w:rPr>
            </w:pPr>
            <w:r>
              <w:rPr>
                <w:rFonts w:hint="eastAsia"/>
                <w:u w:val="single"/>
                <w:lang w:val="en-US" w:eastAsia="zh-CN"/>
              </w:rPr>
              <w:t>根据《生活垃圾转运站工程项目建设标准》（建标117—2009）要求，本项目从以下几个方面进行符合性分析，前文已分析的不做重复分析：</w:t>
            </w:r>
          </w:p>
          <w:p>
            <w:pPr>
              <w:bidi w:val="0"/>
              <w:rPr>
                <w:rFonts w:hint="default"/>
                <w:u w:val="single"/>
                <w:lang w:val="en-US" w:eastAsia="zh-CN"/>
              </w:rPr>
            </w:pPr>
            <w:r>
              <w:rPr>
                <w:rFonts w:hint="default"/>
                <w:u w:val="single"/>
                <w:lang w:val="en-US" w:eastAsia="zh-CN"/>
              </w:rPr>
              <w:t>（一）建设项目与项目构成</w:t>
            </w:r>
          </w:p>
          <w:p>
            <w:pPr>
              <w:bidi w:val="0"/>
              <w:rPr>
                <w:rFonts w:hint="default"/>
                <w:u w:val="single"/>
                <w:lang w:val="en-US" w:eastAsia="zh-CN"/>
              </w:rPr>
            </w:pPr>
            <w:r>
              <w:rPr>
                <w:rFonts w:hint="default"/>
                <w:u w:val="single"/>
                <w:lang w:val="en-US" w:eastAsia="zh-CN"/>
              </w:rPr>
              <w:t>（1）转运站由主体工程设施、配套工程设施以及生产管理和生活服务设施等构成。具体包括下列内容：</w:t>
            </w:r>
          </w:p>
          <w:p>
            <w:pPr>
              <w:bidi w:val="0"/>
              <w:rPr>
                <w:rFonts w:hint="default"/>
                <w:u w:val="single"/>
                <w:lang w:val="en-US" w:eastAsia="zh-CN"/>
              </w:rPr>
            </w:pPr>
            <w:r>
              <w:rPr>
                <w:rFonts w:hint="default"/>
                <w:u w:val="single"/>
                <w:lang w:val="en-US" w:eastAsia="zh-CN"/>
              </w:rPr>
              <w:t>①主体工程设施主要包括：站房，进出站道路，垃圾集装箱，垃圾计量、装卸料/压缩、垃圾渗沥液及污水处理、除臭、通风、灭虫、自动控制等系统。</w:t>
            </w:r>
            <w:r>
              <w:rPr>
                <w:rFonts w:hint="eastAsia"/>
                <w:u w:val="single"/>
                <w:lang w:val="en-US" w:eastAsia="zh-CN"/>
              </w:rPr>
              <w:t>本项目设施齐全，包括</w:t>
            </w:r>
            <w:r>
              <w:rPr>
                <w:rFonts w:hint="default"/>
                <w:u w:val="single"/>
                <w:lang w:val="en-US" w:eastAsia="zh-CN"/>
              </w:rPr>
              <w:t>站房，进出站道路，垃圾集装箱，垃圾计量、装卸料/压缩、垃圾渗沥液及污水处理、除臭、通风、灭虫、自动控制等系统</w:t>
            </w:r>
          </w:p>
          <w:p>
            <w:pPr>
              <w:bidi w:val="0"/>
              <w:rPr>
                <w:rFonts w:hint="default"/>
                <w:u w:val="single"/>
                <w:lang w:val="en-US" w:eastAsia="zh-CN"/>
              </w:rPr>
            </w:pPr>
            <w:r>
              <w:rPr>
                <w:rFonts w:hint="default"/>
                <w:u w:val="single"/>
                <w:lang w:val="en-US" w:eastAsia="zh-CN"/>
              </w:rPr>
              <w:t>②配套设施主要包括：供配电、给排水、机械维修、停车、冲洗、消防、通信、检测及化验等设施。</w:t>
            </w:r>
            <w:r>
              <w:rPr>
                <w:rFonts w:hint="eastAsia"/>
                <w:u w:val="single"/>
                <w:lang w:val="en-US" w:eastAsia="zh-CN"/>
              </w:rPr>
              <w:t>本项目配套设施齐全，配电依靠区域电网，给水依靠供水管道，废水不外排，配备有维修车间、停车场消防等设施。</w:t>
            </w:r>
          </w:p>
          <w:p>
            <w:pPr>
              <w:bidi w:val="0"/>
              <w:rPr>
                <w:rFonts w:hint="default"/>
                <w:u w:val="single"/>
                <w:lang w:val="en-US" w:eastAsia="zh-CN"/>
              </w:rPr>
            </w:pPr>
            <w:r>
              <w:rPr>
                <w:rFonts w:hint="default"/>
                <w:u w:val="single"/>
                <w:lang w:val="en-US" w:eastAsia="zh-CN"/>
              </w:rPr>
              <w:t>③生产管理与生活服务设施主要包括:办公室、值班室、休息室、浴室、宿舍、食堂等设施。</w:t>
            </w:r>
            <w:r>
              <w:rPr>
                <w:rFonts w:hint="eastAsia"/>
                <w:u w:val="single"/>
                <w:lang w:val="en-US" w:eastAsia="zh-CN"/>
              </w:rPr>
              <w:t>本项目设有一栋业务楼，供工作人员办公休息等，工作人员不在站内食宿，顾不设置食堂及宿舍。</w:t>
            </w:r>
          </w:p>
          <w:p>
            <w:pPr>
              <w:bidi w:val="0"/>
              <w:rPr>
                <w:rFonts w:hint="default"/>
                <w:u w:val="single"/>
                <w:lang w:val="en-US" w:eastAsia="zh-CN"/>
              </w:rPr>
            </w:pPr>
            <w:r>
              <w:rPr>
                <w:rFonts w:hint="default"/>
                <w:u w:val="single"/>
                <w:lang w:val="en-US" w:eastAsia="zh-CN"/>
              </w:rPr>
              <w:t>（2）大、中型转运站应包含主体工程设施、配套工程设施以及生产管理和生活服务设施。小型转运站以主体工程设施为主，生产管理和生活服务设施应借助周边公共设施。</w:t>
            </w:r>
            <w:r>
              <w:rPr>
                <w:rFonts w:hint="eastAsia"/>
                <w:u w:val="single"/>
                <w:lang w:val="en-US" w:eastAsia="zh-CN"/>
              </w:rPr>
              <w:t>本项目配套设施齐全，围绕压装车间修建。</w:t>
            </w:r>
          </w:p>
          <w:p>
            <w:pPr>
              <w:bidi w:val="0"/>
              <w:rPr>
                <w:rFonts w:hint="eastAsia"/>
                <w:u w:val="single"/>
                <w:lang w:val="en-US" w:eastAsia="zh-CN"/>
              </w:rPr>
            </w:pPr>
            <w:r>
              <w:rPr>
                <w:rFonts w:hint="eastAsia"/>
                <w:u w:val="single"/>
                <w:lang w:val="en-US" w:eastAsia="zh-CN"/>
              </w:rPr>
              <w:t>（二）环境保护与劳动保护</w:t>
            </w:r>
          </w:p>
          <w:p>
            <w:pPr>
              <w:bidi w:val="0"/>
              <w:rPr>
                <w:rFonts w:hint="eastAsia"/>
                <w:u w:val="single"/>
                <w:lang w:val="en-US" w:eastAsia="zh-CN"/>
              </w:rPr>
            </w:pPr>
            <w:r>
              <w:rPr>
                <w:rFonts w:hint="eastAsia"/>
                <w:u w:val="single"/>
                <w:lang w:val="en-US" w:eastAsia="zh-CN"/>
              </w:rPr>
              <w:t>（1）环境保护</w:t>
            </w:r>
          </w:p>
          <w:p>
            <w:pPr>
              <w:bidi w:val="0"/>
              <w:rPr>
                <w:rFonts w:hint="default"/>
                <w:u w:val="single"/>
                <w:lang w:val="en-US" w:eastAsia="zh-CN"/>
              </w:rPr>
            </w:pPr>
            <w:r>
              <w:rPr>
                <w:rFonts w:hint="default"/>
                <w:u w:val="single"/>
                <w:lang w:val="en-US" w:eastAsia="zh-CN"/>
              </w:rPr>
              <w:t>转运站应根据所在地区水环境质量要求和污水收集、处理系统等具体条件,确定渗沥液及污水排放、处理措施,并应符合国家现行有关标准及当地环境保护部门的要求。中、小型转运站的渗沥液及污水宜直接排入市政污水管网集中处理。</w:t>
            </w:r>
            <w:r>
              <w:rPr>
                <w:rFonts w:hint="eastAsia"/>
                <w:u w:val="single"/>
                <w:lang w:val="en-US" w:eastAsia="zh-CN"/>
              </w:rPr>
              <w:t>本项目站内实行雨污分流，初期雨水收集后回用于场内洒水降尘，冲洗废水及垃圾渗滤液收集后输送至凤凰县垃圾填埋场渗滤液处理系统处理，处理后一部分回灌至填埋区，一部分排放至凤凰县污水处理厂深度处理后外排。</w:t>
            </w:r>
          </w:p>
          <w:p>
            <w:pPr>
              <w:bidi w:val="0"/>
              <w:rPr>
                <w:rFonts w:hint="eastAsia"/>
                <w:u w:val="single"/>
                <w:lang w:val="en-US" w:eastAsia="zh-CN"/>
              </w:rPr>
            </w:pPr>
            <w:r>
              <w:rPr>
                <w:rFonts w:hint="eastAsia"/>
                <w:u w:val="single"/>
                <w:lang w:val="en-US" w:eastAsia="zh-CN"/>
              </w:rPr>
              <w:t>（2）运营管理与劳动动员</w:t>
            </w:r>
          </w:p>
          <w:p>
            <w:pPr>
              <w:bidi w:val="0"/>
              <w:rPr>
                <w:rFonts w:hint="eastAsia"/>
                <w:u w:val="single"/>
                <w:lang w:val="en-US" w:eastAsia="zh-CN"/>
              </w:rPr>
            </w:pPr>
            <w:r>
              <w:rPr>
                <w:rFonts w:hint="eastAsia"/>
                <w:u w:val="single"/>
                <w:lang w:val="en-US" w:eastAsia="zh-CN"/>
              </w:rPr>
              <w:t>转运站宜采用一至两班制，本项目采用一班制，一般八小时。</w:t>
            </w:r>
          </w:p>
          <w:p>
            <w:pPr>
              <w:bidi w:val="0"/>
              <w:rPr>
                <w:rFonts w:hint="default"/>
                <w:u w:val="single"/>
                <w:lang w:val="en-US" w:eastAsia="zh-CN"/>
              </w:rPr>
            </w:pPr>
            <w:r>
              <w:rPr>
                <w:rFonts w:hint="eastAsia"/>
                <w:u w:val="single"/>
                <w:lang w:val="en-US" w:eastAsia="zh-CN"/>
              </w:rPr>
              <w:t>中型垃圾转运站吧劳动定远5-12人，本项目劳动定远5人。</w:t>
            </w:r>
          </w:p>
          <w:p>
            <w:pPr>
              <w:bidi w:val="0"/>
              <w:rPr>
                <w:rFonts w:hint="eastAsia"/>
                <w:u w:val="single"/>
                <w:lang w:val="en-US" w:eastAsia="zh-CN"/>
              </w:rPr>
            </w:pPr>
            <w:r>
              <w:rPr>
                <w:rFonts w:hint="eastAsia"/>
                <w:u w:val="single"/>
                <w:lang w:val="en-US" w:eastAsia="zh-CN"/>
              </w:rPr>
              <w:t>（3）主要技术经济指标</w:t>
            </w:r>
          </w:p>
          <w:p>
            <w:pPr>
              <w:bidi w:val="0"/>
              <w:rPr>
                <w:rFonts w:hint="default"/>
                <w:u w:val="single"/>
                <w:lang w:val="en-US" w:eastAsia="zh-CN"/>
              </w:rPr>
            </w:pPr>
            <w:r>
              <w:rPr>
                <w:rFonts w:hint="eastAsia"/>
                <w:u w:val="single"/>
                <w:lang w:val="en-US" w:eastAsia="zh-CN"/>
              </w:rPr>
              <w:t>中型垃圾转运站建设工期应小于等于9，本项目设计工期为8个月。</w:t>
            </w:r>
          </w:p>
          <w:p>
            <w:pPr>
              <w:pStyle w:val="8"/>
              <w:bidi w:val="0"/>
              <w:ind w:left="0" w:leftChars="0" w:firstLine="0" w:firstLineChars="0"/>
              <w:rPr>
                <w:b/>
                <w:bCs/>
              </w:rPr>
            </w:pPr>
            <w:r>
              <w:rPr>
                <w:rFonts w:hint="eastAsia"/>
                <w:b/>
                <w:bCs/>
                <w:lang w:val="en-US" w:eastAsia="zh-CN"/>
              </w:rPr>
              <w:t>1.7</w:t>
            </w:r>
            <w:r>
              <w:rPr>
                <w:b/>
                <w:bCs/>
              </w:rPr>
              <w:t>与《公路安全保护条例》的符合性分析</w:t>
            </w:r>
          </w:p>
          <w:p>
            <w:pPr>
              <w:adjustRightInd w:val="0"/>
              <w:snapToGrid w:val="0"/>
              <w:spacing w:line="360" w:lineRule="auto"/>
              <w:ind w:firstLine="480" w:firstLineChars="200"/>
              <w:rPr>
                <w:rFonts w:ascii="Times New Roman" w:hAnsi="Times New Roman"/>
                <w:snapToGrid w:val="0"/>
                <w:kern w:val="0"/>
                <w:sz w:val="24"/>
                <w:szCs w:val="24"/>
              </w:rPr>
            </w:pPr>
            <w:r>
              <w:rPr>
                <w:rFonts w:ascii="Times New Roman" w:hAnsi="Times New Roman"/>
                <w:snapToGrid w:val="0"/>
                <w:kern w:val="0"/>
                <w:sz w:val="24"/>
                <w:szCs w:val="24"/>
              </w:rPr>
              <w:t>根据《公路安全保护条例》第十一条</w:t>
            </w:r>
            <w:r>
              <w:rPr>
                <w:rFonts w:hint="eastAsia" w:ascii="Times New Roman" w:hAnsi="Times New Roman"/>
                <w:snapToGrid w:val="0"/>
                <w:kern w:val="0"/>
                <w:sz w:val="24"/>
                <w:szCs w:val="24"/>
              </w:rPr>
              <w:t>：</w:t>
            </w:r>
            <w:r>
              <w:rPr>
                <w:rFonts w:ascii="Times New Roman" w:hAnsi="Times New Roman"/>
                <w:snapToGrid w:val="0"/>
                <w:kern w:val="0"/>
                <w:sz w:val="24"/>
                <w:szCs w:val="24"/>
              </w:rPr>
              <w:t>县级以上地方人民政府应当根据保障公路运行安全和节约用地的原则以及公路发展的需要，组织交通运输、国土资源等部门划定公路建筑控制区的范围</w:t>
            </w:r>
            <w:r>
              <w:rPr>
                <w:rFonts w:hint="eastAsia"/>
                <w:snapToGrid w:val="0"/>
                <w:kern w:val="0"/>
                <w:sz w:val="24"/>
                <w:szCs w:val="24"/>
                <w:lang w:eastAsia="zh-CN"/>
              </w:rPr>
              <w:t>，公路建筑控制区内禁止修建建筑物和构筑物，原有建筑物和构筑物不得扩建，需埋设管线、电缆及修建临时性工程设施的，应经交通主管部门批准</w:t>
            </w:r>
            <w:r>
              <w:rPr>
                <w:rFonts w:ascii="Times New Roman" w:hAnsi="Times New Roman"/>
                <w:snapToGrid w:val="0"/>
                <w:kern w:val="0"/>
                <w:sz w:val="24"/>
                <w:szCs w:val="24"/>
              </w:rPr>
              <w:t>。</w:t>
            </w:r>
          </w:p>
          <w:p>
            <w:pPr>
              <w:adjustRightInd w:val="0"/>
              <w:snapToGrid w:val="0"/>
              <w:spacing w:line="360" w:lineRule="auto"/>
              <w:ind w:firstLine="480" w:firstLineChars="200"/>
              <w:rPr>
                <w:rFonts w:ascii="Times New Roman" w:hAnsi="Times New Roman"/>
                <w:snapToGrid w:val="0"/>
                <w:kern w:val="0"/>
                <w:sz w:val="24"/>
                <w:szCs w:val="24"/>
              </w:rPr>
            </w:pPr>
            <w:r>
              <w:rPr>
                <w:rFonts w:ascii="Times New Roman" w:hAnsi="Times New Roman"/>
                <w:snapToGrid w:val="0"/>
                <w:kern w:val="0"/>
                <w:sz w:val="24"/>
                <w:szCs w:val="24"/>
              </w:rPr>
              <w:t>公路建筑控制区的范围，从公路用地外缘起向外的距离标准为：</w:t>
            </w:r>
          </w:p>
          <w:p>
            <w:pPr>
              <w:adjustRightInd w:val="0"/>
              <w:snapToGrid w:val="0"/>
              <w:spacing w:line="360" w:lineRule="auto"/>
              <w:ind w:firstLine="480" w:firstLineChars="200"/>
              <w:rPr>
                <w:rFonts w:ascii="Times New Roman" w:hAnsi="Times New Roman"/>
                <w:snapToGrid w:val="0"/>
                <w:kern w:val="0"/>
                <w:sz w:val="24"/>
                <w:szCs w:val="24"/>
              </w:rPr>
            </w:pPr>
            <w:r>
              <w:rPr>
                <w:rFonts w:ascii="Times New Roman" w:hAnsi="Times New Roman"/>
                <w:snapToGrid w:val="0"/>
                <w:kern w:val="0"/>
                <w:sz w:val="24"/>
                <w:szCs w:val="24"/>
              </w:rPr>
              <w:t>（一）国道不少于20米；</w:t>
            </w:r>
          </w:p>
          <w:p>
            <w:pPr>
              <w:adjustRightInd w:val="0"/>
              <w:snapToGrid w:val="0"/>
              <w:spacing w:line="360" w:lineRule="auto"/>
              <w:ind w:firstLine="480" w:firstLineChars="200"/>
              <w:rPr>
                <w:rFonts w:ascii="Times New Roman" w:hAnsi="Times New Roman"/>
                <w:snapToGrid w:val="0"/>
                <w:kern w:val="0"/>
                <w:sz w:val="24"/>
                <w:szCs w:val="24"/>
              </w:rPr>
            </w:pPr>
            <w:r>
              <w:rPr>
                <w:rFonts w:ascii="Times New Roman" w:hAnsi="Times New Roman"/>
                <w:snapToGrid w:val="0"/>
                <w:kern w:val="0"/>
                <w:sz w:val="24"/>
                <w:szCs w:val="24"/>
              </w:rPr>
              <w:t>（二）省道不少于15米；</w:t>
            </w:r>
          </w:p>
          <w:p>
            <w:pPr>
              <w:adjustRightInd w:val="0"/>
              <w:snapToGrid w:val="0"/>
              <w:spacing w:line="360" w:lineRule="auto"/>
              <w:ind w:firstLine="480" w:firstLineChars="200"/>
              <w:rPr>
                <w:rFonts w:ascii="Times New Roman" w:hAnsi="Times New Roman"/>
                <w:snapToGrid w:val="0"/>
                <w:kern w:val="0"/>
                <w:sz w:val="24"/>
                <w:szCs w:val="24"/>
              </w:rPr>
            </w:pPr>
            <w:r>
              <w:rPr>
                <w:rFonts w:ascii="Times New Roman" w:hAnsi="Times New Roman"/>
                <w:snapToGrid w:val="0"/>
                <w:kern w:val="0"/>
                <w:sz w:val="24"/>
                <w:szCs w:val="24"/>
              </w:rPr>
              <w:t>（三）县道不少于10米；</w:t>
            </w:r>
          </w:p>
          <w:p>
            <w:pPr>
              <w:adjustRightInd w:val="0"/>
              <w:snapToGrid w:val="0"/>
              <w:spacing w:line="360" w:lineRule="auto"/>
              <w:ind w:firstLine="480" w:firstLineChars="200"/>
              <w:rPr>
                <w:rFonts w:ascii="Times New Roman" w:hAnsi="Times New Roman"/>
                <w:snapToGrid w:val="0"/>
                <w:kern w:val="0"/>
                <w:sz w:val="24"/>
                <w:szCs w:val="24"/>
              </w:rPr>
            </w:pPr>
            <w:r>
              <w:rPr>
                <w:rFonts w:ascii="Times New Roman" w:hAnsi="Times New Roman"/>
                <w:snapToGrid w:val="0"/>
                <w:kern w:val="0"/>
                <w:sz w:val="24"/>
                <w:szCs w:val="24"/>
              </w:rPr>
              <w:t>（四）乡道不少于5米。</w:t>
            </w:r>
          </w:p>
          <w:p>
            <w:pPr>
              <w:adjustRightInd w:val="0"/>
              <w:snapToGrid w:val="0"/>
              <w:spacing w:line="360" w:lineRule="auto"/>
              <w:ind w:firstLine="480" w:firstLineChars="200"/>
              <w:rPr>
                <w:rFonts w:ascii="Times New Roman" w:hAnsi="Times New Roman"/>
                <w:snapToGrid w:val="0"/>
                <w:kern w:val="0"/>
                <w:sz w:val="24"/>
                <w:szCs w:val="24"/>
              </w:rPr>
            </w:pPr>
            <w:r>
              <w:rPr>
                <w:rFonts w:ascii="Times New Roman" w:hAnsi="Times New Roman"/>
                <w:snapToGrid w:val="0"/>
                <w:kern w:val="0"/>
                <w:sz w:val="24"/>
                <w:szCs w:val="24"/>
              </w:rPr>
              <w:t>属于高速公路的，公路建筑控制区的范围从公路用地外缘起向外的距离标准不少于30米。</w:t>
            </w:r>
          </w:p>
          <w:p>
            <w:pPr>
              <w:adjustRightInd w:val="0"/>
              <w:snapToGrid w:val="0"/>
              <w:spacing w:line="360" w:lineRule="auto"/>
              <w:ind w:firstLine="480" w:firstLineChars="200"/>
              <w:rPr>
                <w:rFonts w:ascii="Times New Roman" w:hAnsi="Times New Roman"/>
                <w:snapToGrid w:val="0"/>
                <w:kern w:val="0"/>
                <w:sz w:val="24"/>
                <w:szCs w:val="24"/>
              </w:rPr>
            </w:pPr>
            <w:r>
              <w:rPr>
                <w:rFonts w:ascii="Times New Roman" w:hAnsi="Times New Roman"/>
                <w:snapToGrid w:val="0"/>
                <w:kern w:val="0"/>
                <w:sz w:val="24"/>
                <w:szCs w:val="24"/>
              </w:rPr>
              <w:t>公路弯道内侧、互通立交以及平面交叉道口的建筑控制区范围根据安全视距等要求确定。</w:t>
            </w:r>
          </w:p>
          <w:p>
            <w:pPr>
              <w:pStyle w:val="30"/>
              <w:keepNext w:val="0"/>
              <w:keepLines w:val="0"/>
              <w:pageBreakBefore w:val="0"/>
              <w:widowControl w:val="0"/>
              <w:kinsoku/>
              <w:wordWrap w:val="0"/>
              <w:overflowPunct/>
              <w:topLinePunct w:val="0"/>
              <w:autoSpaceDE w:val="0"/>
              <w:autoSpaceDN w:val="0"/>
              <w:bidi w:val="0"/>
              <w:adjustRightInd/>
              <w:snapToGrid/>
              <w:ind w:left="0" w:leftChars="0" w:firstLine="480" w:firstLineChars="200"/>
              <w:textAlignment w:val="auto"/>
              <w:rPr>
                <w:rFonts w:hint="default"/>
                <w:lang w:val="en-US" w:eastAsia="zh-CN"/>
              </w:rPr>
            </w:pPr>
            <w:r>
              <w:rPr>
                <w:rFonts w:hint="eastAsia"/>
                <w:snapToGrid w:val="0"/>
                <w:kern w:val="0"/>
                <w:sz w:val="24"/>
                <w:szCs w:val="24"/>
                <w:lang w:eastAsia="zh-CN"/>
              </w:rPr>
              <w:t>凤凰县沱江镇高峰</w:t>
            </w:r>
            <w:r>
              <w:rPr>
                <w:rFonts w:hint="eastAsia" w:ascii="Times New Roman" w:hAnsi="Times New Roman"/>
                <w:snapToGrid w:val="0"/>
                <w:kern w:val="0"/>
                <w:sz w:val="24"/>
                <w:szCs w:val="24"/>
              </w:rPr>
              <w:t>垃圾转运站</w:t>
            </w:r>
            <w:r>
              <w:rPr>
                <w:rFonts w:hint="eastAsia"/>
                <w:snapToGrid w:val="0"/>
                <w:kern w:val="0"/>
                <w:sz w:val="24"/>
                <w:szCs w:val="24"/>
                <w:lang w:eastAsia="zh-CN"/>
              </w:rPr>
              <w:t>西</w:t>
            </w:r>
            <w:r>
              <w:rPr>
                <w:rFonts w:hint="eastAsia" w:ascii="Times New Roman" w:hAnsi="Times New Roman"/>
                <w:snapToGrid w:val="0"/>
                <w:kern w:val="0"/>
                <w:sz w:val="24"/>
                <w:szCs w:val="24"/>
              </w:rPr>
              <w:t>侧</w:t>
            </w:r>
            <w:r>
              <w:rPr>
                <w:rFonts w:hint="eastAsia"/>
                <w:snapToGrid w:val="0"/>
                <w:kern w:val="0"/>
                <w:sz w:val="24"/>
                <w:szCs w:val="24"/>
                <w:lang w:val="en-US" w:eastAsia="zh-CN"/>
              </w:rPr>
              <w:t>25</w:t>
            </w:r>
            <w:r>
              <w:rPr>
                <w:rFonts w:hint="eastAsia" w:ascii="Times New Roman" w:hAnsi="Times New Roman"/>
                <w:snapToGrid w:val="0"/>
                <w:kern w:val="0"/>
                <w:sz w:val="24"/>
                <w:szCs w:val="24"/>
              </w:rPr>
              <w:t>m为</w:t>
            </w:r>
            <w:r>
              <w:rPr>
                <w:rFonts w:hint="eastAsia"/>
                <w:snapToGrid w:val="0"/>
                <w:kern w:val="0"/>
                <w:sz w:val="24"/>
                <w:szCs w:val="24"/>
                <w:lang w:val="en-US" w:eastAsia="zh-CN"/>
              </w:rPr>
              <w:t>G209</w:t>
            </w:r>
            <w:r>
              <w:rPr>
                <w:rFonts w:hint="eastAsia" w:ascii="Times New Roman" w:hAnsi="Times New Roman"/>
                <w:snapToGrid w:val="0"/>
                <w:kern w:val="0"/>
                <w:sz w:val="24"/>
                <w:szCs w:val="24"/>
              </w:rPr>
              <w:t>，</w:t>
            </w:r>
            <w:r>
              <w:rPr>
                <w:rFonts w:ascii="Times New Roman" w:hAnsi="Times New Roman"/>
                <w:snapToGrid w:val="0"/>
                <w:kern w:val="0"/>
                <w:sz w:val="24"/>
                <w:szCs w:val="24"/>
              </w:rPr>
              <w:t>满足</w:t>
            </w:r>
            <w:r>
              <w:rPr>
                <w:rFonts w:hint="eastAsia" w:ascii="Times New Roman" w:hAnsi="Times New Roman"/>
                <w:snapToGrid w:val="0"/>
                <w:kern w:val="0"/>
                <w:sz w:val="24"/>
                <w:szCs w:val="24"/>
              </w:rPr>
              <w:t>《公路安全保护条例》</w:t>
            </w:r>
            <w:r>
              <w:rPr>
                <w:rFonts w:ascii="Times New Roman" w:hAnsi="Times New Roman"/>
                <w:snapToGrid w:val="0"/>
                <w:kern w:val="0"/>
                <w:sz w:val="24"/>
                <w:szCs w:val="24"/>
              </w:rPr>
              <w:t>的规定</w:t>
            </w:r>
            <w:r>
              <w:rPr>
                <w:rFonts w:hint="eastAsia" w:ascii="Times New Roman" w:hAnsi="Times New Roman"/>
                <w:snapToGrid w:val="0"/>
                <w:kern w:val="0"/>
                <w:sz w:val="24"/>
                <w:szCs w:val="24"/>
              </w:rPr>
              <w:t>。</w:t>
            </w:r>
          </w:p>
          <w:p>
            <w:pPr>
              <w:pStyle w:val="8"/>
              <w:tabs>
                <w:tab w:val="left" w:pos="630"/>
              </w:tabs>
              <w:ind w:left="0" w:leftChars="0" w:firstLine="0" w:firstLineChars="0"/>
              <w:rPr>
                <w:rFonts w:ascii="Times New Roman" w:hAnsi="Times New Roman"/>
                <w:b/>
                <w:bCs/>
              </w:rPr>
            </w:pPr>
            <w:r>
              <w:rPr>
                <w:rFonts w:hint="eastAsia" w:ascii="Times New Roman" w:hAnsi="Times New Roman"/>
                <w:b/>
                <w:bCs/>
                <w:lang w:val="en-US" w:eastAsia="zh-CN"/>
              </w:rPr>
              <w:t>1.</w:t>
            </w:r>
            <w:r>
              <w:rPr>
                <w:rFonts w:hint="eastAsia"/>
                <w:b/>
                <w:bCs/>
                <w:lang w:val="en-US" w:eastAsia="zh-CN"/>
              </w:rPr>
              <w:t>8</w:t>
            </w:r>
            <w:r>
              <w:rPr>
                <w:rFonts w:ascii="Times New Roman" w:hAnsi="Times New Roman"/>
                <w:b/>
                <w:bCs/>
              </w:rPr>
              <w:t>项目选址合理性分析</w:t>
            </w:r>
          </w:p>
          <w:p>
            <w:pPr>
              <w:spacing w:line="360" w:lineRule="auto"/>
              <w:ind w:firstLine="480" w:firstLineChars="200"/>
              <w:rPr>
                <w:rFonts w:ascii="Times New Roman" w:hAnsi="Times New Roman"/>
                <w:color w:val="000000"/>
                <w:sz w:val="24"/>
                <w:szCs w:val="24"/>
                <w:u w:val="single"/>
              </w:rPr>
            </w:pPr>
            <w:r>
              <w:rPr>
                <w:rFonts w:ascii="Times New Roman" w:hAnsi="Times New Roman"/>
                <w:color w:val="000000"/>
                <w:sz w:val="24"/>
                <w:szCs w:val="24"/>
                <w:u w:val="single"/>
              </w:rPr>
              <w:t>根据《城镇环境卫生设施</w:t>
            </w:r>
            <w:r>
              <w:rPr>
                <w:rFonts w:hint="eastAsia"/>
                <w:color w:val="000000"/>
                <w:sz w:val="24"/>
                <w:szCs w:val="24"/>
                <w:u w:val="single"/>
                <w:lang w:eastAsia="zh-CN"/>
              </w:rPr>
              <w:t>除臭技术</w:t>
            </w:r>
            <w:r>
              <w:rPr>
                <w:rFonts w:ascii="Times New Roman" w:hAnsi="Times New Roman"/>
                <w:color w:val="000000"/>
                <w:sz w:val="24"/>
                <w:szCs w:val="24"/>
                <w:u w:val="single"/>
              </w:rPr>
              <w:t>标准》（CJJ27</w:t>
            </w:r>
            <w:r>
              <w:rPr>
                <w:rFonts w:hint="eastAsia"/>
                <w:color w:val="000000"/>
                <w:sz w:val="24"/>
                <w:szCs w:val="24"/>
                <w:u w:val="single"/>
                <w:lang w:val="en-US" w:eastAsia="zh-CN"/>
              </w:rPr>
              <w:t>4</w:t>
            </w:r>
            <w:r>
              <w:rPr>
                <w:rFonts w:ascii="Times New Roman" w:hAnsi="Times New Roman"/>
                <w:color w:val="000000"/>
                <w:sz w:val="24"/>
                <w:szCs w:val="24"/>
                <w:u w:val="single"/>
              </w:rPr>
              <w:t>-20</w:t>
            </w:r>
            <w:r>
              <w:rPr>
                <w:rFonts w:hint="eastAsia"/>
                <w:color w:val="000000"/>
                <w:sz w:val="24"/>
                <w:szCs w:val="24"/>
                <w:u w:val="single"/>
                <w:lang w:val="en-US" w:eastAsia="zh-CN"/>
              </w:rPr>
              <w:t>18</w:t>
            </w:r>
            <w:r>
              <w:rPr>
                <w:rFonts w:ascii="Times New Roman" w:hAnsi="Times New Roman"/>
                <w:color w:val="000000"/>
                <w:sz w:val="24"/>
                <w:szCs w:val="24"/>
                <w:u w:val="single"/>
              </w:rPr>
              <w:t>）、《城市环境卫生设施规划</w:t>
            </w:r>
            <w:r>
              <w:rPr>
                <w:rFonts w:hint="eastAsia"/>
                <w:color w:val="000000"/>
                <w:sz w:val="24"/>
                <w:szCs w:val="24"/>
                <w:u w:val="single"/>
                <w:lang w:eastAsia="zh-CN"/>
              </w:rPr>
              <w:t>标准</w:t>
            </w:r>
            <w:r>
              <w:rPr>
                <w:rFonts w:ascii="Times New Roman" w:hAnsi="Times New Roman"/>
                <w:color w:val="000000"/>
                <w:sz w:val="24"/>
                <w:szCs w:val="24"/>
                <w:u w:val="single"/>
              </w:rPr>
              <w:t>》（GB50337-20</w:t>
            </w:r>
            <w:r>
              <w:rPr>
                <w:rFonts w:hint="eastAsia"/>
                <w:color w:val="000000"/>
                <w:sz w:val="24"/>
                <w:szCs w:val="24"/>
                <w:u w:val="single"/>
                <w:lang w:val="en-US" w:eastAsia="zh-CN"/>
              </w:rPr>
              <w:t>18</w:t>
            </w:r>
            <w:r>
              <w:rPr>
                <w:rFonts w:ascii="Times New Roman" w:hAnsi="Times New Roman"/>
                <w:color w:val="000000"/>
                <w:sz w:val="24"/>
                <w:szCs w:val="24"/>
                <w:u w:val="single"/>
              </w:rPr>
              <w:t>）、《生活垃圾转运站技术规范》（CJJ47-20</w:t>
            </w:r>
            <w:r>
              <w:rPr>
                <w:rFonts w:hint="eastAsia"/>
                <w:color w:val="000000"/>
                <w:sz w:val="24"/>
                <w:szCs w:val="24"/>
                <w:u w:val="single"/>
                <w:lang w:val="en-US" w:eastAsia="zh-CN"/>
              </w:rPr>
              <w:t>16</w:t>
            </w:r>
            <w:r>
              <w:rPr>
                <w:rFonts w:ascii="Times New Roman" w:hAnsi="Times New Roman"/>
                <w:color w:val="000000"/>
                <w:sz w:val="24"/>
                <w:szCs w:val="24"/>
                <w:u w:val="single"/>
              </w:rPr>
              <w:t>）</w:t>
            </w:r>
            <w:r>
              <w:rPr>
                <w:rFonts w:hint="eastAsia"/>
                <w:color w:val="000000"/>
                <w:sz w:val="24"/>
                <w:szCs w:val="24"/>
                <w:u w:val="single"/>
                <w:lang w:eastAsia="zh-CN"/>
              </w:rPr>
              <w:t>、</w:t>
            </w:r>
            <w:r>
              <w:rPr>
                <w:rFonts w:hint="eastAsia"/>
                <w:color w:val="000000"/>
                <w:sz w:val="24"/>
                <w:szCs w:val="24"/>
                <w:u w:val="single"/>
                <w:lang w:val="en-US" w:eastAsia="zh-CN"/>
              </w:rPr>
              <w:t>《生活垃圾转运站工程项目建设标准》（建标117—2009）</w:t>
            </w:r>
            <w:r>
              <w:rPr>
                <w:rFonts w:ascii="Times New Roman" w:hAnsi="Times New Roman"/>
                <w:color w:val="000000"/>
                <w:sz w:val="24"/>
                <w:szCs w:val="24"/>
                <w:u w:val="single"/>
              </w:rPr>
              <w:t>的要求，环境卫生工程设施及转运站选址应符合下列要求：</w:t>
            </w:r>
          </w:p>
          <w:p>
            <w:pPr>
              <w:spacing w:line="360" w:lineRule="auto"/>
              <w:ind w:firstLine="480" w:firstLineChars="200"/>
              <w:rPr>
                <w:rFonts w:ascii="Times New Roman" w:hAnsi="Times New Roman"/>
                <w:color w:val="auto"/>
                <w:sz w:val="24"/>
                <w:szCs w:val="24"/>
                <w:u w:val="single"/>
              </w:rPr>
            </w:pPr>
            <w:r>
              <w:rPr>
                <w:rFonts w:hint="eastAsia" w:ascii="Times New Roman" w:hAnsi="Times New Roman"/>
                <w:color w:val="000000"/>
                <w:sz w:val="24"/>
                <w:szCs w:val="24"/>
                <w:u w:val="single"/>
              </w:rPr>
              <w:t>1</w:t>
            </w:r>
            <w:r>
              <w:rPr>
                <w:rFonts w:hint="eastAsia"/>
                <w:color w:val="000000"/>
                <w:sz w:val="24"/>
                <w:szCs w:val="24"/>
                <w:u w:val="single"/>
                <w:lang w:eastAsia="zh-CN"/>
              </w:rPr>
              <w:t>、</w:t>
            </w:r>
            <w:r>
              <w:rPr>
                <w:rFonts w:ascii="Times New Roman" w:hAnsi="Times New Roman"/>
                <w:color w:val="auto"/>
                <w:sz w:val="24"/>
                <w:szCs w:val="24"/>
                <w:u w:val="single"/>
              </w:rPr>
              <w:t>应符合城市总体规划、城市环境卫生行业规划的要求。</w:t>
            </w:r>
          </w:p>
          <w:p>
            <w:pPr>
              <w:pStyle w:val="12"/>
              <w:rPr>
                <w:rFonts w:hint="eastAsia" w:eastAsia="宋体"/>
                <w:u w:val="single"/>
                <w:lang w:val="en-US" w:eastAsia="zh-CN"/>
              </w:rPr>
            </w:pPr>
            <w:r>
              <w:rPr>
                <w:rFonts w:hint="eastAsia" w:ascii="Times New Roman" w:hAnsi="Times New Roman"/>
                <w:color w:val="000000"/>
                <w:sz w:val="24"/>
                <w:szCs w:val="24"/>
                <w:u w:val="single"/>
              </w:rPr>
              <w:t>2</w:t>
            </w:r>
            <w:r>
              <w:rPr>
                <w:rFonts w:hint="eastAsia"/>
                <w:color w:val="000000"/>
                <w:sz w:val="24"/>
                <w:szCs w:val="24"/>
                <w:u w:val="single"/>
                <w:lang w:eastAsia="zh-CN"/>
              </w:rPr>
              <w:t>、</w:t>
            </w:r>
            <w:r>
              <w:rPr>
                <w:rFonts w:ascii="Times New Roman" w:hAnsi="Times New Roman"/>
                <w:color w:val="000000"/>
                <w:sz w:val="24"/>
                <w:szCs w:val="24"/>
                <w:u w:val="single"/>
              </w:rPr>
              <w:t>应</w:t>
            </w:r>
            <w:r>
              <w:rPr>
                <w:rFonts w:hint="eastAsia"/>
                <w:color w:val="000000"/>
                <w:sz w:val="24"/>
                <w:szCs w:val="24"/>
                <w:u w:val="single"/>
                <w:lang w:eastAsia="zh-CN"/>
              </w:rPr>
              <w:t>综合</w:t>
            </w:r>
            <w:r>
              <w:rPr>
                <w:rFonts w:ascii="Times New Roman" w:hAnsi="Times New Roman"/>
                <w:color w:val="000000"/>
                <w:sz w:val="24"/>
                <w:szCs w:val="24"/>
                <w:u w:val="single"/>
              </w:rPr>
              <w:t>考虑服务区域</w:t>
            </w:r>
            <w:r>
              <w:rPr>
                <w:rFonts w:hint="eastAsia"/>
                <w:color w:val="000000"/>
                <w:sz w:val="24"/>
                <w:szCs w:val="24"/>
                <w:u w:val="single"/>
                <w:lang w:eastAsia="zh-CN"/>
              </w:rPr>
              <w:t>、服务人口、转运能力、转运模式、运输距离、污染控制、配套条件等因素的影响</w:t>
            </w:r>
            <w:r>
              <w:rPr>
                <w:rFonts w:hint="eastAsia"/>
                <w:color w:val="auto"/>
                <w:sz w:val="24"/>
                <w:szCs w:val="24"/>
                <w:u w:val="single"/>
                <w:lang w:val="en-US" w:eastAsia="zh-CN"/>
              </w:rPr>
              <w:t>。</w:t>
            </w:r>
          </w:p>
          <w:p>
            <w:pPr>
              <w:spacing w:line="360" w:lineRule="auto"/>
              <w:ind w:firstLine="480" w:firstLineChars="200"/>
              <w:rPr>
                <w:rFonts w:ascii="Times New Roman" w:hAnsi="Times New Roman"/>
                <w:color w:val="000000"/>
                <w:sz w:val="24"/>
                <w:szCs w:val="24"/>
                <w:u w:val="single"/>
              </w:rPr>
            </w:pPr>
            <w:r>
              <w:rPr>
                <w:rFonts w:hint="eastAsia"/>
                <w:color w:val="000000"/>
                <w:sz w:val="24"/>
                <w:szCs w:val="24"/>
                <w:u w:val="single"/>
                <w:lang w:val="en-US" w:eastAsia="zh-CN"/>
              </w:rPr>
              <w:t>3</w:t>
            </w:r>
            <w:r>
              <w:rPr>
                <w:rFonts w:hint="eastAsia"/>
                <w:color w:val="000000"/>
                <w:sz w:val="24"/>
                <w:szCs w:val="24"/>
                <w:u w:val="single"/>
                <w:lang w:eastAsia="zh-CN"/>
              </w:rPr>
              <w:t>、应满足供水、供电、污水排放、通信等方面的要求</w:t>
            </w:r>
            <w:r>
              <w:rPr>
                <w:rFonts w:ascii="Times New Roman" w:hAnsi="Times New Roman"/>
                <w:color w:val="000000"/>
                <w:sz w:val="24"/>
                <w:szCs w:val="24"/>
                <w:u w:val="single"/>
              </w:rPr>
              <w:t>。</w:t>
            </w:r>
          </w:p>
          <w:p>
            <w:pPr>
              <w:spacing w:line="360" w:lineRule="auto"/>
              <w:ind w:firstLine="480" w:firstLineChars="200"/>
              <w:rPr>
                <w:rFonts w:ascii="Times New Roman" w:hAnsi="Times New Roman"/>
                <w:color w:val="000000"/>
                <w:sz w:val="24"/>
                <w:szCs w:val="24"/>
                <w:u w:val="single"/>
              </w:rPr>
            </w:pPr>
            <w:r>
              <w:rPr>
                <w:rFonts w:hint="eastAsia"/>
                <w:color w:val="000000"/>
                <w:sz w:val="24"/>
                <w:szCs w:val="24"/>
                <w:u w:val="single"/>
                <w:lang w:val="en-US" w:eastAsia="zh-CN"/>
              </w:rPr>
              <w:t>4</w:t>
            </w:r>
            <w:r>
              <w:rPr>
                <w:rFonts w:hint="eastAsia"/>
                <w:color w:val="000000"/>
                <w:sz w:val="24"/>
                <w:szCs w:val="24"/>
                <w:u w:val="single"/>
                <w:lang w:eastAsia="zh-CN"/>
              </w:rPr>
              <w:t>、转运站不宜设在大型商场、影剧院出入口等繁华地段及邻近学校、商场、餐饮店等群众日常生活聚集场所和其他人流密集区域</w:t>
            </w:r>
            <w:r>
              <w:rPr>
                <w:rFonts w:ascii="Times New Roman" w:hAnsi="Times New Roman"/>
                <w:color w:val="000000"/>
                <w:sz w:val="24"/>
                <w:szCs w:val="24"/>
                <w:u w:val="single"/>
              </w:rPr>
              <w:t>。</w:t>
            </w:r>
          </w:p>
          <w:p>
            <w:pPr>
              <w:pStyle w:val="12"/>
              <w:rPr>
                <w:rFonts w:hint="eastAsia" w:eastAsia="宋体"/>
                <w:u w:val="single"/>
                <w:lang w:val="en-US" w:eastAsia="zh-CN"/>
              </w:rPr>
            </w:pPr>
            <w:r>
              <w:rPr>
                <w:rFonts w:hint="eastAsia"/>
                <w:color w:val="000000"/>
                <w:sz w:val="24"/>
                <w:szCs w:val="24"/>
                <w:u w:val="single"/>
                <w:lang w:val="en-US" w:eastAsia="zh-CN"/>
              </w:rPr>
              <w:t>5、垃圾转运站应设在交通运输方便、市政条件较好并对居民影响较小的地区。</w:t>
            </w:r>
          </w:p>
          <w:p>
            <w:pPr>
              <w:spacing w:line="360" w:lineRule="auto"/>
              <w:ind w:firstLine="480" w:firstLineChars="200"/>
              <w:rPr>
                <w:rFonts w:ascii="Times New Roman" w:hAnsi="Times New Roman"/>
                <w:color w:val="000000"/>
                <w:sz w:val="24"/>
                <w:szCs w:val="24"/>
                <w:u w:val="single"/>
              </w:rPr>
            </w:pPr>
            <w:r>
              <w:rPr>
                <w:rFonts w:ascii="Times New Roman" w:hAnsi="Times New Roman"/>
                <w:color w:val="000000"/>
                <w:sz w:val="24"/>
                <w:szCs w:val="24"/>
                <w:u w:val="single"/>
              </w:rPr>
              <w:t>站址建设条件：</w:t>
            </w:r>
          </w:p>
          <w:p>
            <w:pPr>
              <w:spacing w:line="360" w:lineRule="auto"/>
              <w:ind w:firstLine="480" w:firstLineChars="200"/>
              <w:rPr>
                <w:rFonts w:ascii="Times New Roman" w:hAnsi="Times New Roman"/>
                <w:color w:val="000000"/>
                <w:sz w:val="24"/>
                <w:szCs w:val="24"/>
                <w:u w:val="single"/>
              </w:rPr>
            </w:pPr>
            <w:r>
              <w:rPr>
                <w:rFonts w:ascii="Times New Roman" w:hAnsi="Times New Roman"/>
                <w:color w:val="000000"/>
                <w:sz w:val="24"/>
                <w:szCs w:val="24"/>
                <w:u w:val="single"/>
              </w:rPr>
              <w:fldChar w:fldCharType="begin"/>
            </w:r>
            <w:r>
              <w:rPr>
                <w:rFonts w:ascii="Times New Roman" w:hAnsi="Times New Roman"/>
                <w:color w:val="000000"/>
                <w:sz w:val="24"/>
                <w:szCs w:val="24"/>
                <w:u w:val="single"/>
              </w:rPr>
              <w:instrText xml:space="preserve"> = 1 \* GB3 \* MERGEFORMAT </w:instrText>
            </w:r>
            <w:r>
              <w:rPr>
                <w:rFonts w:ascii="Times New Roman" w:hAnsi="Times New Roman"/>
                <w:color w:val="000000"/>
                <w:sz w:val="24"/>
                <w:szCs w:val="24"/>
                <w:u w:val="single"/>
              </w:rPr>
              <w:fldChar w:fldCharType="separate"/>
            </w:r>
            <w:r>
              <w:rPr>
                <w:rFonts w:hint="eastAsia" w:ascii="宋体" w:hAnsi="宋体" w:cs="宋体"/>
                <w:color w:val="000000"/>
                <w:sz w:val="24"/>
                <w:szCs w:val="24"/>
                <w:u w:val="single"/>
              </w:rPr>
              <w:t>①</w:t>
            </w:r>
            <w:r>
              <w:rPr>
                <w:rFonts w:ascii="Times New Roman" w:hAnsi="Times New Roman"/>
                <w:color w:val="000000"/>
                <w:sz w:val="24"/>
                <w:szCs w:val="24"/>
                <w:u w:val="single"/>
              </w:rPr>
              <w:fldChar w:fldCharType="end"/>
            </w:r>
            <w:r>
              <w:rPr>
                <w:rFonts w:hint="eastAsia"/>
                <w:color w:val="000000"/>
                <w:sz w:val="24"/>
                <w:szCs w:val="24"/>
                <w:u w:val="single"/>
                <w:lang w:eastAsia="zh-CN"/>
              </w:rPr>
              <w:t>本项目符合城市总体规划、城市环境卫生行业规划的要求</w:t>
            </w:r>
            <w:r>
              <w:rPr>
                <w:rFonts w:ascii="Times New Roman" w:hAnsi="Times New Roman"/>
                <w:color w:val="000000"/>
                <w:sz w:val="24"/>
                <w:szCs w:val="24"/>
                <w:u w:val="single"/>
              </w:rPr>
              <w:t>；</w:t>
            </w:r>
          </w:p>
          <w:p>
            <w:pPr>
              <w:spacing w:line="360" w:lineRule="auto"/>
              <w:ind w:firstLine="480" w:firstLineChars="200"/>
              <w:rPr>
                <w:rFonts w:ascii="Times New Roman" w:hAnsi="Times New Roman"/>
                <w:color w:val="000000"/>
                <w:sz w:val="24"/>
                <w:szCs w:val="24"/>
                <w:u w:val="single"/>
              </w:rPr>
            </w:pPr>
            <w:r>
              <w:rPr>
                <w:rFonts w:ascii="Times New Roman" w:hAnsi="Times New Roman"/>
                <w:color w:val="000000"/>
                <w:sz w:val="24"/>
                <w:szCs w:val="24"/>
                <w:u w:val="single"/>
              </w:rPr>
              <w:fldChar w:fldCharType="begin"/>
            </w:r>
            <w:r>
              <w:rPr>
                <w:rFonts w:ascii="Times New Roman" w:hAnsi="Times New Roman"/>
                <w:color w:val="000000"/>
                <w:sz w:val="24"/>
                <w:szCs w:val="24"/>
                <w:u w:val="single"/>
              </w:rPr>
              <w:instrText xml:space="preserve"> = 2 \* GB3 \* MERGEFORMAT </w:instrText>
            </w:r>
            <w:r>
              <w:rPr>
                <w:rFonts w:ascii="Times New Roman" w:hAnsi="Times New Roman"/>
                <w:color w:val="000000"/>
                <w:sz w:val="24"/>
                <w:szCs w:val="24"/>
                <w:u w:val="single"/>
              </w:rPr>
              <w:fldChar w:fldCharType="separate"/>
            </w:r>
            <w:r>
              <w:rPr>
                <w:rFonts w:hint="eastAsia" w:ascii="宋体" w:hAnsi="宋体" w:cs="宋体"/>
                <w:color w:val="000000"/>
                <w:sz w:val="24"/>
                <w:szCs w:val="24"/>
                <w:u w:val="single"/>
              </w:rPr>
              <w:t>②</w:t>
            </w:r>
            <w:r>
              <w:rPr>
                <w:rFonts w:ascii="Times New Roman" w:hAnsi="Times New Roman"/>
                <w:color w:val="000000"/>
                <w:sz w:val="24"/>
                <w:szCs w:val="24"/>
                <w:u w:val="single"/>
              </w:rPr>
              <w:fldChar w:fldCharType="end"/>
            </w:r>
            <w:r>
              <w:rPr>
                <w:rFonts w:hint="eastAsia"/>
                <w:color w:val="000000"/>
                <w:sz w:val="24"/>
                <w:szCs w:val="24"/>
                <w:u w:val="single"/>
                <w:lang w:eastAsia="zh-CN"/>
              </w:rPr>
              <w:t>本项目选址综合考虑了</w:t>
            </w:r>
            <w:r>
              <w:rPr>
                <w:rFonts w:ascii="Times New Roman" w:hAnsi="Times New Roman"/>
                <w:color w:val="000000"/>
                <w:sz w:val="24"/>
                <w:szCs w:val="24"/>
                <w:u w:val="single"/>
              </w:rPr>
              <w:t>服务区域</w:t>
            </w:r>
            <w:r>
              <w:rPr>
                <w:rFonts w:hint="eastAsia"/>
                <w:color w:val="000000"/>
                <w:sz w:val="24"/>
                <w:szCs w:val="24"/>
                <w:u w:val="single"/>
                <w:lang w:eastAsia="zh-CN"/>
              </w:rPr>
              <w:t>、服务人口、转运能力、转运模式、运输距离、污染控制、配套条件等因素的影响</w:t>
            </w:r>
            <w:r>
              <w:rPr>
                <w:rFonts w:ascii="Times New Roman" w:hAnsi="Times New Roman"/>
                <w:color w:val="000000"/>
                <w:sz w:val="24"/>
                <w:szCs w:val="24"/>
                <w:u w:val="single"/>
              </w:rPr>
              <w:t>；</w:t>
            </w:r>
          </w:p>
          <w:p>
            <w:pPr>
              <w:spacing w:line="360" w:lineRule="auto"/>
              <w:ind w:firstLine="480" w:firstLineChars="200"/>
              <w:rPr>
                <w:rFonts w:ascii="Times New Roman" w:hAnsi="Times New Roman"/>
                <w:color w:val="000000"/>
                <w:sz w:val="24"/>
                <w:szCs w:val="24"/>
                <w:u w:val="single"/>
              </w:rPr>
            </w:pPr>
            <w:r>
              <w:rPr>
                <w:rFonts w:ascii="Times New Roman" w:hAnsi="Times New Roman"/>
                <w:color w:val="000000"/>
                <w:sz w:val="24"/>
                <w:szCs w:val="24"/>
                <w:u w:val="single"/>
              </w:rPr>
              <w:fldChar w:fldCharType="begin"/>
            </w:r>
            <w:r>
              <w:rPr>
                <w:rFonts w:ascii="Times New Roman" w:hAnsi="Times New Roman"/>
                <w:color w:val="000000"/>
                <w:sz w:val="24"/>
                <w:szCs w:val="24"/>
                <w:u w:val="single"/>
              </w:rPr>
              <w:instrText xml:space="preserve"> = 3 \* GB3 \* MERGEFORMAT </w:instrText>
            </w:r>
            <w:r>
              <w:rPr>
                <w:rFonts w:ascii="Times New Roman" w:hAnsi="Times New Roman"/>
                <w:color w:val="000000"/>
                <w:sz w:val="24"/>
                <w:szCs w:val="24"/>
                <w:u w:val="single"/>
              </w:rPr>
              <w:fldChar w:fldCharType="separate"/>
            </w:r>
            <w:r>
              <w:rPr>
                <w:rFonts w:hint="eastAsia" w:ascii="宋体" w:hAnsi="宋体" w:cs="宋体"/>
                <w:color w:val="000000"/>
                <w:sz w:val="24"/>
                <w:szCs w:val="24"/>
                <w:u w:val="single"/>
              </w:rPr>
              <w:t>③</w:t>
            </w:r>
            <w:r>
              <w:rPr>
                <w:rFonts w:ascii="Times New Roman" w:hAnsi="Times New Roman"/>
                <w:color w:val="000000"/>
                <w:sz w:val="24"/>
                <w:szCs w:val="24"/>
                <w:u w:val="single"/>
              </w:rPr>
              <w:fldChar w:fldCharType="end"/>
            </w:r>
            <w:r>
              <w:rPr>
                <w:rFonts w:hint="eastAsia"/>
                <w:color w:val="000000"/>
                <w:sz w:val="24"/>
                <w:szCs w:val="24"/>
                <w:u w:val="single"/>
                <w:lang w:eastAsia="zh-CN"/>
              </w:rPr>
              <w:t>本项目供水、供电、通信均可满足，渗滤液收集后输送至凤凰县垃圾填埋场渗滤液处理系统，一部分回灌至填埋区，一部分处理达到《生活垃圾填埋污染控制标准》(GB16889-97)表</w:t>
            </w:r>
            <w:r>
              <w:rPr>
                <w:rFonts w:hint="eastAsia"/>
                <w:color w:val="000000"/>
                <w:sz w:val="24"/>
                <w:szCs w:val="24"/>
                <w:u w:val="single"/>
                <w:lang w:val="en-US" w:eastAsia="zh-CN"/>
              </w:rPr>
              <w:t>2</w:t>
            </w:r>
            <w:r>
              <w:rPr>
                <w:rFonts w:hint="eastAsia"/>
                <w:color w:val="000000"/>
                <w:sz w:val="24"/>
                <w:szCs w:val="24"/>
                <w:u w:val="single"/>
                <w:lang w:eastAsia="zh-CN"/>
              </w:rPr>
              <w:t>标准进而经专用管道排入风凰县污水处理厂集中处置，达标排放，不乱排</w:t>
            </w:r>
            <w:r>
              <w:rPr>
                <w:rFonts w:ascii="Times New Roman" w:hAnsi="Times New Roman"/>
                <w:color w:val="000000"/>
                <w:sz w:val="24"/>
                <w:szCs w:val="24"/>
                <w:u w:val="single"/>
              </w:rPr>
              <w:t>；</w:t>
            </w:r>
          </w:p>
          <w:p>
            <w:pPr>
              <w:pStyle w:val="46"/>
              <w:autoSpaceDE/>
              <w:autoSpaceDN/>
              <w:adjustRightInd/>
              <w:spacing w:line="360" w:lineRule="auto"/>
              <w:ind w:firstLine="480" w:firstLineChars="200"/>
              <w:jc w:val="both"/>
              <w:rPr>
                <w:rFonts w:ascii="Times New Roman" w:hAnsi="Times New Roman"/>
                <w:color w:val="000000"/>
                <w:u w:val="single"/>
              </w:rPr>
            </w:pPr>
            <w:r>
              <w:rPr>
                <w:rFonts w:ascii="Times New Roman" w:hAnsi="Times New Roman" w:eastAsia="Times New Roman"/>
                <w:color w:val="000000"/>
                <w:u w:val="single"/>
              </w:rPr>
              <w:fldChar w:fldCharType="begin"/>
            </w:r>
            <w:r>
              <w:rPr>
                <w:rFonts w:ascii="Times New Roman" w:hAnsi="Times New Roman" w:eastAsia="Times New Roman"/>
                <w:color w:val="000000"/>
                <w:u w:val="single"/>
              </w:rPr>
              <w:instrText xml:space="preserve"> = 4 \* GB3 \* MERGEFORMAT </w:instrText>
            </w:r>
            <w:r>
              <w:rPr>
                <w:rFonts w:ascii="Times New Roman" w:hAnsi="Times New Roman" w:eastAsia="Times New Roman"/>
                <w:color w:val="000000"/>
                <w:u w:val="single"/>
              </w:rPr>
              <w:fldChar w:fldCharType="separate"/>
            </w:r>
            <w:r>
              <w:rPr>
                <w:rFonts w:hint="eastAsia" w:ascii="宋体" w:hAnsi="宋体" w:cs="宋体"/>
                <w:color w:val="000000"/>
                <w:u w:val="single"/>
              </w:rPr>
              <w:t>④</w:t>
            </w:r>
            <w:r>
              <w:rPr>
                <w:rFonts w:ascii="Times New Roman" w:hAnsi="Times New Roman" w:eastAsia="Times New Roman"/>
                <w:color w:val="000000"/>
                <w:u w:val="single"/>
              </w:rPr>
              <w:fldChar w:fldCharType="end"/>
            </w:r>
            <w:r>
              <w:rPr>
                <w:rFonts w:hint="eastAsia" w:ascii="Times New Roman" w:eastAsia="宋体"/>
                <w:color w:val="000000"/>
                <w:u w:val="single"/>
                <w:lang w:eastAsia="zh-CN"/>
              </w:rPr>
              <w:t>本项目地址位于沱江镇</w:t>
            </w:r>
            <w:r>
              <w:rPr>
                <w:rFonts w:hint="eastAsia" w:ascii="Times New Roman"/>
                <w:color w:val="000000"/>
                <w:u w:val="single"/>
                <w:lang w:eastAsia="zh-CN"/>
              </w:rPr>
              <w:t>高峰村</w:t>
            </w:r>
            <w:r>
              <w:rPr>
                <w:rFonts w:hint="eastAsia" w:ascii="Times New Roman" w:eastAsia="宋体"/>
                <w:color w:val="000000"/>
                <w:u w:val="single"/>
                <w:lang w:eastAsia="zh-CN"/>
              </w:rPr>
              <w:t>，不位于群众活动频繁地段</w:t>
            </w:r>
            <w:r>
              <w:rPr>
                <w:rFonts w:ascii="Times New Roman" w:hAnsi="Times New Roman"/>
                <w:color w:val="000000"/>
                <w:u w:val="single"/>
              </w:rPr>
              <w:t>；</w:t>
            </w:r>
          </w:p>
          <w:p>
            <w:pPr>
              <w:pStyle w:val="46"/>
              <w:autoSpaceDE/>
              <w:autoSpaceDN/>
              <w:adjustRightInd/>
              <w:spacing w:line="360" w:lineRule="auto"/>
              <w:ind w:firstLine="480" w:firstLineChars="200"/>
              <w:jc w:val="both"/>
              <w:rPr>
                <w:rFonts w:hint="default" w:ascii="Times New Roman" w:hAnsi="Times New Roman" w:eastAsia="宋体"/>
                <w:color w:val="000000"/>
                <w:u w:val="single"/>
                <w:lang w:val="en-US" w:eastAsia="zh-CN"/>
              </w:rPr>
            </w:pPr>
            <w:r>
              <w:rPr>
                <w:rFonts w:hint="eastAsia" w:ascii="Times New Roman"/>
                <w:color w:val="000000"/>
                <w:u w:val="single"/>
                <w:lang w:eastAsia="zh-CN"/>
              </w:rPr>
              <w:t>⑤本项目位于</w:t>
            </w:r>
            <w:r>
              <w:rPr>
                <w:rFonts w:hint="eastAsia" w:ascii="Times New Roman"/>
                <w:color w:val="000000"/>
                <w:u w:val="single"/>
                <w:lang w:val="en-US" w:eastAsia="zh-CN"/>
              </w:rPr>
              <w:t>G209公路旁边，交通运输方便。</w:t>
            </w:r>
          </w:p>
          <w:p>
            <w:pPr>
              <w:pStyle w:val="46"/>
              <w:autoSpaceDE/>
              <w:autoSpaceDN/>
              <w:adjustRightInd/>
              <w:spacing w:before="5" w:line="360" w:lineRule="auto"/>
              <w:ind w:right="607" w:firstLine="480" w:firstLineChars="200"/>
              <w:jc w:val="both"/>
              <w:rPr>
                <w:rFonts w:ascii="Times New Roman" w:hAnsi="Times New Roman"/>
                <w:color w:val="000000"/>
                <w:u w:val="single"/>
              </w:rPr>
            </w:pPr>
            <w:r>
              <w:rPr>
                <w:rFonts w:ascii="Times New Roman" w:hAnsi="Times New Roman"/>
                <w:color w:val="000000"/>
                <w:u w:val="single"/>
              </w:rPr>
              <w:t>综上，项目选址从环保角度分析，项目选址合理可行。</w:t>
            </w:r>
          </w:p>
          <w:p>
            <w:pPr>
              <w:spacing w:line="360" w:lineRule="auto"/>
              <w:ind w:firstLine="480" w:firstLineChars="200"/>
              <w:jc w:val="both"/>
              <w:rPr>
                <w:rFonts w:ascii="Times New Roman" w:hAnsi="Times New Roman"/>
                <w:color w:val="000000"/>
                <w:sz w:val="24"/>
                <w:u w:val="single"/>
              </w:rPr>
            </w:pPr>
            <w:r>
              <w:rPr>
                <w:rFonts w:ascii="Times New Roman" w:hAnsi="Times New Roman"/>
                <w:color w:val="000000"/>
                <w:sz w:val="24"/>
                <w:u w:val="single"/>
              </w:rPr>
              <w:t>本项目选址与《城镇环境卫生设施设置标准》（</w:t>
            </w:r>
            <w:r>
              <w:rPr>
                <w:rFonts w:ascii="Times New Roman" w:hAnsi="Times New Roman" w:eastAsia="Times New Roman"/>
                <w:color w:val="000000"/>
                <w:sz w:val="24"/>
                <w:u w:val="single"/>
              </w:rPr>
              <w:t>CJJ27-20</w:t>
            </w:r>
            <w:r>
              <w:rPr>
                <w:rFonts w:hint="eastAsia" w:eastAsia="宋体"/>
                <w:color w:val="000000"/>
                <w:sz w:val="24"/>
                <w:u w:val="single"/>
                <w:lang w:val="en-US" w:eastAsia="zh-CN"/>
              </w:rPr>
              <w:t>12</w:t>
            </w:r>
            <w:r>
              <w:rPr>
                <w:rFonts w:ascii="Times New Roman" w:hAnsi="Times New Roman"/>
                <w:color w:val="000000"/>
                <w:sz w:val="24"/>
                <w:u w:val="single"/>
              </w:rPr>
              <w:t>）、《城市环境卫生</w:t>
            </w:r>
            <w:r>
              <w:rPr>
                <w:rFonts w:ascii="Times New Roman" w:hAnsi="Times New Roman"/>
                <w:color w:val="000000"/>
                <w:spacing w:val="-2"/>
                <w:sz w:val="24"/>
                <w:u w:val="single"/>
              </w:rPr>
              <w:t>设施规划规范》</w:t>
            </w:r>
            <w:r>
              <w:rPr>
                <w:rFonts w:ascii="Times New Roman" w:hAnsi="Times New Roman"/>
                <w:color w:val="000000"/>
                <w:sz w:val="24"/>
                <w:u w:val="single"/>
              </w:rPr>
              <w:t>（</w:t>
            </w:r>
            <w:r>
              <w:rPr>
                <w:rFonts w:ascii="Times New Roman" w:hAnsi="Times New Roman" w:eastAsia="Times New Roman"/>
                <w:color w:val="000000"/>
                <w:sz w:val="24"/>
                <w:u w:val="single"/>
              </w:rPr>
              <w:t>GB50337-20</w:t>
            </w:r>
            <w:r>
              <w:rPr>
                <w:rFonts w:hint="eastAsia" w:eastAsia="宋体"/>
                <w:color w:val="000000"/>
                <w:sz w:val="24"/>
                <w:u w:val="single"/>
                <w:lang w:val="en-US" w:eastAsia="zh-CN"/>
              </w:rPr>
              <w:t>16</w:t>
            </w:r>
            <w:r>
              <w:rPr>
                <w:rFonts w:ascii="Times New Roman" w:hAnsi="Times New Roman"/>
                <w:color w:val="000000"/>
                <w:sz w:val="24"/>
                <w:u w:val="single"/>
              </w:rPr>
              <w:t>）</w:t>
            </w:r>
            <w:r>
              <w:rPr>
                <w:rFonts w:ascii="Times New Roman" w:hAnsi="Times New Roman"/>
                <w:color w:val="000000"/>
                <w:spacing w:val="-4"/>
                <w:sz w:val="24"/>
                <w:u w:val="single"/>
              </w:rPr>
              <w:t>、《生活垃圾转运站技术规范》</w:t>
            </w:r>
            <w:r>
              <w:rPr>
                <w:rFonts w:ascii="Times New Roman" w:hAnsi="Times New Roman"/>
                <w:color w:val="000000"/>
                <w:sz w:val="24"/>
                <w:u w:val="single"/>
              </w:rPr>
              <w:t>（</w:t>
            </w:r>
            <w:r>
              <w:rPr>
                <w:rFonts w:ascii="Times New Roman" w:hAnsi="Times New Roman" w:eastAsia="Times New Roman"/>
                <w:color w:val="000000"/>
                <w:sz w:val="24"/>
                <w:u w:val="single"/>
              </w:rPr>
              <w:t>CJJ47-20</w:t>
            </w:r>
            <w:r>
              <w:rPr>
                <w:rFonts w:hint="eastAsia" w:ascii="Times New Roman" w:hAnsi="Times New Roman"/>
                <w:color w:val="000000"/>
                <w:sz w:val="24"/>
                <w:u w:val="single"/>
              </w:rPr>
              <w:t>1</w:t>
            </w:r>
            <w:r>
              <w:rPr>
                <w:rFonts w:ascii="Times New Roman" w:hAnsi="Times New Roman" w:eastAsia="Times New Roman"/>
                <w:color w:val="000000"/>
                <w:sz w:val="24"/>
                <w:u w:val="single"/>
              </w:rPr>
              <w:t>6</w:t>
            </w:r>
            <w:r>
              <w:rPr>
                <w:rFonts w:ascii="Times New Roman" w:hAnsi="Times New Roman"/>
                <w:color w:val="000000"/>
                <w:sz w:val="24"/>
                <w:u w:val="single"/>
              </w:rPr>
              <w:t>）</w:t>
            </w:r>
            <w:r>
              <w:rPr>
                <w:rFonts w:ascii="Times New Roman" w:hAnsi="Times New Roman"/>
                <w:color w:val="000000"/>
                <w:spacing w:val="-10"/>
                <w:sz w:val="24"/>
                <w:u w:val="single"/>
              </w:rPr>
              <w:t>的</w:t>
            </w:r>
            <w:r>
              <w:rPr>
                <w:rFonts w:ascii="Times New Roman" w:hAnsi="Times New Roman"/>
                <w:color w:val="000000"/>
                <w:spacing w:val="-6"/>
                <w:sz w:val="24"/>
                <w:u w:val="single"/>
              </w:rPr>
              <w:t>要求符合性分析如下表</w:t>
            </w:r>
            <w:r>
              <w:rPr>
                <w:rFonts w:hint="eastAsia"/>
                <w:color w:val="000000"/>
                <w:sz w:val="24"/>
                <w:u w:val="single"/>
                <w:lang w:val="en-US" w:eastAsia="zh-CN"/>
              </w:rPr>
              <w:t>1-5</w:t>
            </w:r>
            <w:r>
              <w:rPr>
                <w:rFonts w:ascii="Times New Roman" w:hAnsi="Times New Roman"/>
                <w:color w:val="000000"/>
                <w:sz w:val="24"/>
                <w:u w:val="single"/>
              </w:rPr>
              <w:t>。</w:t>
            </w:r>
          </w:p>
          <w:p>
            <w:pPr>
              <w:pStyle w:val="46"/>
              <w:ind w:left="2839"/>
              <w:jc w:val="both"/>
              <w:rPr>
                <w:rFonts w:ascii="Times New Roman" w:hAnsi="Times New Roman"/>
                <w:b/>
                <w:color w:val="000000"/>
                <w:sz w:val="21"/>
                <w:szCs w:val="21"/>
                <w:u w:val="single"/>
              </w:rPr>
            </w:pPr>
            <w:r>
              <w:rPr>
                <w:rFonts w:ascii="Times New Roman" w:hAnsi="Times New Roman"/>
                <w:b/>
                <w:color w:val="000000"/>
                <w:sz w:val="21"/>
                <w:szCs w:val="21"/>
                <w:u w:val="single"/>
              </w:rPr>
              <w:t>表</w:t>
            </w:r>
            <w:r>
              <w:rPr>
                <w:rFonts w:hint="eastAsia" w:ascii="Times New Roman"/>
                <w:b/>
                <w:color w:val="000000"/>
                <w:sz w:val="21"/>
                <w:szCs w:val="21"/>
                <w:u w:val="single"/>
                <w:lang w:val="en-US" w:eastAsia="zh-CN"/>
              </w:rPr>
              <w:t xml:space="preserve">1-5  </w:t>
            </w:r>
            <w:r>
              <w:rPr>
                <w:rFonts w:ascii="Times New Roman" w:hAnsi="Times New Roman" w:eastAsia="Times New Roman"/>
                <w:b/>
                <w:color w:val="000000"/>
                <w:sz w:val="21"/>
                <w:szCs w:val="21"/>
                <w:u w:val="single"/>
              </w:rPr>
              <w:t xml:space="preserve"> </w:t>
            </w:r>
            <w:r>
              <w:rPr>
                <w:rFonts w:ascii="Times New Roman" w:hAnsi="Times New Roman"/>
                <w:b/>
                <w:color w:val="000000"/>
                <w:sz w:val="21"/>
                <w:szCs w:val="21"/>
                <w:u w:val="single"/>
              </w:rPr>
              <w:t>项目选址与规范符合性分析</w:t>
            </w:r>
          </w:p>
          <w:tbl>
            <w:tblPr>
              <w:tblStyle w:val="31"/>
              <w:tblW w:w="4998"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508"/>
              <w:gridCol w:w="482"/>
              <w:gridCol w:w="3670"/>
              <w:gridCol w:w="2167"/>
              <w:gridCol w:w="6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89" w:type="pct"/>
                  <w:noWrap w:val="0"/>
                  <w:vAlign w:val="center"/>
                </w:tcPr>
                <w:p>
                  <w:pPr>
                    <w:pStyle w:val="38"/>
                    <w:bidi w:val="0"/>
                    <w:rPr>
                      <w:u w:val="single"/>
                    </w:rPr>
                  </w:pPr>
                  <w:r>
                    <w:rPr>
                      <w:u w:val="single"/>
                    </w:rPr>
                    <w:t>标准或规范</w:t>
                  </w:r>
                </w:p>
              </w:tc>
              <w:tc>
                <w:tcPr>
                  <w:tcW w:w="284" w:type="pct"/>
                  <w:noWrap w:val="0"/>
                  <w:vAlign w:val="center"/>
                </w:tcPr>
                <w:p>
                  <w:pPr>
                    <w:pStyle w:val="38"/>
                    <w:bidi w:val="0"/>
                    <w:rPr>
                      <w:u w:val="single"/>
                    </w:rPr>
                  </w:pPr>
                  <w:r>
                    <w:rPr>
                      <w:u w:val="single"/>
                    </w:rPr>
                    <w:t>序</w:t>
                  </w:r>
                </w:p>
                <w:p>
                  <w:pPr>
                    <w:pStyle w:val="38"/>
                    <w:bidi w:val="0"/>
                    <w:rPr>
                      <w:u w:val="single"/>
                    </w:rPr>
                  </w:pPr>
                  <w:r>
                    <w:rPr>
                      <w:u w:val="single"/>
                    </w:rPr>
                    <w:t>号</w:t>
                  </w:r>
                </w:p>
              </w:tc>
              <w:tc>
                <w:tcPr>
                  <w:tcW w:w="2165" w:type="pct"/>
                  <w:noWrap w:val="0"/>
                  <w:vAlign w:val="center"/>
                </w:tcPr>
                <w:p>
                  <w:pPr>
                    <w:pStyle w:val="38"/>
                    <w:bidi w:val="0"/>
                    <w:rPr>
                      <w:u w:val="single"/>
                    </w:rPr>
                  </w:pPr>
                  <w:r>
                    <w:rPr>
                      <w:u w:val="single"/>
                    </w:rPr>
                    <w:t>相关要求</w:t>
                  </w:r>
                </w:p>
              </w:tc>
              <w:tc>
                <w:tcPr>
                  <w:tcW w:w="1278" w:type="pct"/>
                  <w:noWrap w:val="0"/>
                  <w:vAlign w:val="center"/>
                </w:tcPr>
                <w:p>
                  <w:pPr>
                    <w:pStyle w:val="38"/>
                    <w:bidi w:val="0"/>
                    <w:rPr>
                      <w:u w:val="single"/>
                    </w:rPr>
                  </w:pPr>
                  <w:r>
                    <w:rPr>
                      <w:u w:val="single"/>
                    </w:rPr>
                    <w:t>选址符合性分析</w:t>
                  </w:r>
                </w:p>
              </w:tc>
              <w:tc>
                <w:tcPr>
                  <w:tcW w:w="383" w:type="pct"/>
                  <w:noWrap w:val="0"/>
                  <w:vAlign w:val="center"/>
                </w:tcPr>
                <w:p>
                  <w:pPr>
                    <w:pStyle w:val="38"/>
                    <w:bidi w:val="0"/>
                    <w:rPr>
                      <w:u w:val="single"/>
                    </w:rPr>
                  </w:pPr>
                  <w:r>
                    <w:rPr>
                      <w:u w:val="single"/>
                    </w:rPr>
                    <w:t>结论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89" w:type="pct"/>
                  <w:vMerge w:val="restart"/>
                  <w:noWrap w:val="0"/>
                  <w:vAlign w:val="center"/>
                </w:tcPr>
                <w:p>
                  <w:pPr>
                    <w:pStyle w:val="38"/>
                    <w:bidi w:val="0"/>
                    <w:rPr>
                      <w:u w:val="single"/>
                    </w:rPr>
                  </w:pPr>
                  <w:r>
                    <w:rPr>
                      <w:u w:val="single"/>
                    </w:rPr>
                    <w:t>《城镇环境卫生设施设置标准》（CJJ27-2005）、</w:t>
                  </w:r>
                </w:p>
                <w:p>
                  <w:pPr>
                    <w:pStyle w:val="38"/>
                    <w:bidi w:val="0"/>
                    <w:rPr>
                      <w:rFonts w:hint="eastAsia" w:eastAsia="宋体"/>
                      <w:u w:val="single"/>
                      <w:lang w:eastAsia="zh-CN"/>
                    </w:rPr>
                  </w:pPr>
                  <w:r>
                    <w:rPr>
                      <w:u w:val="single"/>
                    </w:rPr>
                    <w:t>《城市环境卫生设施规划规范》（GB50337-2003）、《生活垃圾转运站技术规范》（CJJ47-20</w:t>
                  </w:r>
                  <w:r>
                    <w:rPr>
                      <w:rFonts w:hint="eastAsia"/>
                      <w:u w:val="single"/>
                    </w:rPr>
                    <w:t>1</w:t>
                  </w:r>
                  <w:r>
                    <w:rPr>
                      <w:u w:val="single"/>
                    </w:rPr>
                    <w:t>6）</w:t>
                  </w:r>
                  <w:r>
                    <w:rPr>
                      <w:rFonts w:hint="eastAsia"/>
                      <w:u w:val="single"/>
                      <w:lang w:eastAsia="zh-CN"/>
                    </w:rPr>
                    <w:t>、</w:t>
                  </w:r>
                  <w:r>
                    <w:rPr>
                      <w:rFonts w:hint="eastAsia"/>
                      <w:u w:val="single"/>
                      <w:lang w:val="en-US" w:eastAsia="zh-CN"/>
                    </w:rPr>
                    <w:t>《生活垃圾转运站工程项目建设标准》（建标117—2009）</w:t>
                  </w:r>
                </w:p>
              </w:tc>
              <w:tc>
                <w:tcPr>
                  <w:tcW w:w="284" w:type="pct"/>
                  <w:noWrap w:val="0"/>
                  <w:vAlign w:val="center"/>
                </w:tcPr>
                <w:p>
                  <w:pPr>
                    <w:pStyle w:val="38"/>
                    <w:bidi w:val="0"/>
                    <w:rPr>
                      <w:u w:val="single"/>
                    </w:rPr>
                  </w:pPr>
                  <w:r>
                    <w:rPr>
                      <w:u w:val="single"/>
                    </w:rPr>
                    <w:t>1</w:t>
                  </w:r>
                </w:p>
              </w:tc>
              <w:tc>
                <w:tcPr>
                  <w:tcW w:w="2165" w:type="pct"/>
                  <w:noWrap w:val="0"/>
                  <w:vAlign w:val="center"/>
                </w:tcPr>
                <w:p>
                  <w:pPr>
                    <w:pStyle w:val="38"/>
                    <w:bidi w:val="0"/>
                    <w:rPr>
                      <w:u w:val="single"/>
                    </w:rPr>
                  </w:pPr>
                  <w:r>
                    <w:rPr>
                      <w:u w:val="single"/>
                    </w:rPr>
                    <w:t>应符合城市总体规划、城市环境卫生行业规划的要求以及国家现行有关标准的要求。</w:t>
                  </w:r>
                </w:p>
              </w:tc>
              <w:tc>
                <w:tcPr>
                  <w:tcW w:w="1278" w:type="pct"/>
                  <w:noWrap w:val="0"/>
                  <w:vAlign w:val="center"/>
                </w:tcPr>
                <w:p>
                  <w:pPr>
                    <w:pStyle w:val="38"/>
                    <w:bidi w:val="0"/>
                    <w:rPr>
                      <w:u w:val="single"/>
                    </w:rPr>
                  </w:pPr>
                  <w:r>
                    <w:rPr>
                      <w:u w:val="single"/>
                    </w:rPr>
                    <w:t>符合要求</w:t>
                  </w:r>
                </w:p>
              </w:tc>
              <w:tc>
                <w:tcPr>
                  <w:tcW w:w="383" w:type="pct"/>
                  <w:noWrap w:val="0"/>
                  <w:vAlign w:val="center"/>
                </w:tcPr>
                <w:p>
                  <w:pPr>
                    <w:pStyle w:val="38"/>
                    <w:bidi w:val="0"/>
                    <w:rPr>
                      <w:u w:val="single"/>
                    </w:rPr>
                  </w:pPr>
                  <w:r>
                    <w:rPr>
                      <w:u w:val="single"/>
                    </w:rPr>
                    <w:t>满足</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89" w:type="pct"/>
                  <w:vMerge w:val="continue"/>
                  <w:noWrap w:val="0"/>
                  <w:vAlign w:val="center"/>
                </w:tcPr>
                <w:p>
                  <w:pPr>
                    <w:pStyle w:val="38"/>
                    <w:bidi w:val="0"/>
                    <w:rPr>
                      <w:u w:val="single"/>
                    </w:rPr>
                  </w:pPr>
                </w:p>
              </w:tc>
              <w:tc>
                <w:tcPr>
                  <w:tcW w:w="284" w:type="pct"/>
                  <w:noWrap w:val="0"/>
                  <w:vAlign w:val="center"/>
                </w:tcPr>
                <w:p>
                  <w:pPr>
                    <w:pStyle w:val="38"/>
                    <w:bidi w:val="0"/>
                    <w:rPr>
                      <w:u w:val="single"/>
                    </w:rPr>
                  </w:pPr>
                  <w:r>
                    <w:rPr>
                      <w:u w:val="single"/>
                    </w:rPr>
                    <w:t>2</w:t>
                  </w:r>
                </w:p>
              </w:tc>
              <w:tc>
                <w:tcPr>
                  <w:tcW w:w="2165" w:type="pct"/>
                  <w:noWrap w:val="0"/>
                  <w:vAlign w:val="center"/>
                </w:tcPr>
                <w:p>
                  <w:pPr>
                    <w:pStyle w:val="38"/>
                    <w:bidi w:val="0"/>
                    <w:rPr>
                      <w:u w:val="single"/>
                    </w:rPr>
                  </w:pPr>
                  <w:r>
                    <w:rPr>
                      <w:rFonts w:hint="eastAsia"/>
                      <w:u w:val="single"/>
                    </w:rPr>
                    <w:t>应综合考虑服务区域、服务人口、转运能力、转运模式、运输距离、污染控制、配套条件等因素的影响</w:t>
                  </w:r>
                  <w:r>
                    <w:rPr>
                      <w:u w:val="single"/>
                    </w:rPr>
                    <w:t>。</w:t>
                  </w:r>
                </w:p>
              </w:tc>
              <w:tc>
                <w:tcPr>
                  <w:tcW w:w="1278" w:type="pct"/>
                  <w:noWrap w:val="0"/>
                  <w:vAlign w:val="center"/>
                </w:tcPr>
                <w:p>
                  <w:pPr>
                    <w:pStyle w:val="38"/>
                    <w:bidi w:val="0"/>
                    <w:rPr>
                      <w:u w:val="single"/>
                    </w:rPr>
                  </w:pPr>
                  <w:r>
                    <w:rPr>
                      <w:rFonts w:hint="eastAsia"/>
                      <w:u w:val="single"/>
                    </w:rPr>
                    <w:t>本项目选址综合考虑了服务区域、服务人口、转运能力、转运模式、运输距离、污染控制、配套条件等因素的影响</w:t>
                  </w:r>
                </w:p>
              </w:tc>
              <w:tc>
                <w:tcPr>
                  <w:tcW w:w="383" w:type="pct"/>
                  <w:noWrap w:val="0"/>
                  <w:vAlign w:val="center"/>
                </w:tcPr>
                <w:p>
                  <w:pPr>
                    <w:pStyle w:val="38"/>
                    <w:bidi w:val="0"/>
                    <w:rPr>
                      <w:u w:val="single"/>
                    </w:rPr>
                  </w:pPr>
                  <w:r>
                    <w:rPr>
                      <w:u w:val="single"/>
                    </w:rPr>
                    <w:t>满足</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638" w:hRule="atLeast"/>
                <w:jc w:val="center"/>
              </w:trPr>
              <w:tc>
                <w:tcPr>
                  <w:tcW w:w="889" w:type="pct"/>
                  <w:vMerge w:val="continue"/>
                  <w:noWrap w:val="0"/>
                  <w:vAlign w:val="center"/>
                </w:tcPr>
                <w:p>
                  <w:pPr>
                    <w:pStyle w:val="38"/>
                    <w:bidi w:val="0"/>
                    <w:rPr>
                      <w:u w:val="single"/>
                    </w:rPr>
                  </w:pPr>
                </w:p>
              </w:tc>
              <w:tc>
                <w:tcPr>
                  <w:tcW w:w="284" w:type="pct"/>
                  <w:noWrap w:val="0"/>
                  <w:vAlign w:val="center"/>
                </w:tcPr>
                <w:p>
                  <w:pPr>
                    <w:pStyle w:val="38"/>
                    <w:bidi w:val="0"/>
                    <w:rPr>
                      <w:u w:val="single"/>
                    </w:rPr>
                  </w:pPr>
                  <w:r>
                    <w:rPr>
                      <w:u w:val="single"/>
                    </w:rPr>
                    <w:t>3</w:t>
                  </w:r>
                </w:p>
              </w:tc>
              <w:tc>
                <w:tcPr>
                  <w:tcW w:w="2165" w:type="pct"/>
                  <w:noWrap w:val="0"/>
                  <w:vAlign w:val="center"/>
                </w:tcPr>
                <w:p>
                  <w:pPr>
                    <w:pStyle w:val="38"/>
                    <w:bidi w:val="0"/>
                    <w:rPr>
                      <w:u w:val="single"/>
                    </w:rPr>
                  </w:pPr>
                  <w:r>
                    <w:rPr>
                      <w:rFonts w:hint="eastAsia"/>
                      <w:u w:val="single"/>
                    </w:rPr>
                    <w:t>应满足供水、供电、污水排放、通信等方面的要求</w:t>
                  </w:r>
                  <w:r>
                    <w:rPr>
                      <w:u w:val="single"/>
                    </w:rPr>
                    <w:t>。</w:t>
                  </w:r>
                </w:p>
              </w:tc>
              <w:tc>
                <w:tcPr>
                  <w:tcW w:w="1278" w:type="pct"/>
                  <w:noWrap w:val="0"/>
                  <w:vAlign w:val="center"/>
                </w:tcPr>
                <w:p>
                  <w:pPr>
                    <w:pStyle w:val="38"/>
                    <w:bidi w:val="0"/>
                    <w:rPr>
                      <w:rFonts w:hint="eastAsia" w:eastAsia="宋体"/>
                      <w:u w:val="single"/>
                      <w:lang w:eastAsia="zh-CN"/>
                    </w:rPr>
                  </w:pPr>
                  <w:r>
                    <w:rPr>
                      <w:rFonts w:hint="eastAsia"/>
                      <w:u w:val="single"/>
                    </w:rPr>
                    <w:t>本项目供水、供电、通信均可满足，项目无污水</w:t>
                  </w:r>
                  <w:r>
                    <w:rPr>
                      <w:rFonts w:hint="eastAsia"/>
                      <w:u w:val="single"/>
                      <w:lang w:eastAsia="zh-CN"/>
                    </w:rPr>
                    <w:t>乱</w:t>
                  </w:r>
                  <w:r>
                    <w:rPr>
                      <w:rFonts w:hint="eastAsia"/>
                      <w:u w:val="single"/>
                    </w:rPr>
                    <w:t>排</w:t>
                  </w:r>
                  <w:r>
                    <w:rPr>
                      <w:rFonts w:hint="eastAsia"/>
                      <w:u w:val="single"/>
                      <w:lang w:eastAsia="zh-CN"/>
                    </w:rPr>
                    <w:t>现象</w:t>
                  </w:r>
                </w:p>
              </w:tc>
              <w:tc>
                <w:tcPr>
                  <w:tcW w:w="383" w:type="pct"/>
                  <w:noWrap w:val="0"/>
                  <w:vAlign w:val="center"/>
                </w:tcPr>
                <w:p>
                  <w:pPr>
                    <w:pStyle w:val="38"/>
                    <w:bidi w:val="0"/>
                    <w:rPr>
                      <w:u w:val="single"/>
                    </w:rPr>
                  </w:pPr>
                  <w:r>
                    <w:rPr>
                      <w:u w:val="single"/>
                    </w:rPr>
                    <w:t>满足</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89" w:type="pct"/>
                  <w:vMerge w:val="continue"/>
                  <w:noWrap w:val="0"/>
                  <w:vAlign w:val="center"/>
                </w:tcPr>
                <w:p>
                  <w:pPr>
                    <w:pStyle w:val="38"/>
                    <w:bidi w:val="0"/>
                    <w:rPr>
                      <w:u w:val="single"/>
                    </w:rPr>
                  </w:pPr>
                </w:p>
              </w:tc>
              <w:tc>
                <w:tcPr>
                  <w:tcW w:w="284" w:type="pct"/>
                  <w:noWrap w:val="0"/>
                  <w:vAlign w:val="center"/>
                </w:tcPr>
                <w:p>
                  <w:pPr>
                    <w:pStyle w:val="38"/>
                    <w:bidi w:val="0"/>
                    <w:rPr>
                      <w:u w:val="single"/>
                    </w:rPr>
                  </w:pPr>
                  <w:r>
                    <w:rPr>
                      <w:u w:val="single"/>
                    </w:rPr>
                    <w:t>4</w:t>
                  </w:r>
                </w:p>
              </w:tc>
              <w:tc>
                <w:tcPr>
                  <w:tcW w:w="2165" w:type="pct"/>
                  <w:noWrap w:val="0"/>
                  <w:vAlign w:val="center"/>
                </w:tcPr>
                <w:p>
                  <w:pPr>
                    <w:pStyle w:val="38"/>
                    <w:bidi w:val="0"/>
                    <w:rPr>
                      <w:u w:val="single"/>
                    </w:rPr>
                  </w:pPr>
                  <w:r>
                    <w:rPr>
                      <w:rFonts w:hint="eastAsia"/>
                      <w:u w:val="single"/>
                    </w:rPr>
                    <w:t>转运站不宜设在大型商场、影剧院出入口等繁华地段及邻近学校、商场、餐饮店等群众日常生活聚集场所和其他人流密集区域</w:t>
                  </w:r>
                  <w:r>
                    <w:rPr>
                      <w:u w:val="single"/>
                    </w:rPr>
                    <w:t>。</w:t>
                  </w:r>
                </w:p>
              </w:tc>
              <w:tc>
                <w:tcPr>
                  <w:tcW w:w="1278" w:type="pct"/>
                  <w:noWrap w:val="0"/>
                  <w:vAlign w:val="center"/>
                </w:tcPr>
                <w:p>
                  <w:pPr>
                    <w:pStyle w:val="38"/>
                    <w:bidi w:val="0"/>
                    <w:rPr>
                      <w:u w:val="single"/>
                    </w:rPr>
                  </w:pPr>
                  <w:r>
                    <w:rPr>
                      <w:rFonts w:hint="eastAsia"/>
                      <w:u w:val="single"/>
                    </w:rPr>
                    <w:t>本项目地址位于沱江镇</w:t>
                  </w:r>
                  <w:r>
                    <w:rPr>
                      <w:rFonts w:hint="eastAsia"/>
                      <w:u w:val="single"/>
                      <w:lang w:eastAsia="zh-CN"/>
                    </w:rPr>
                    <w:t>高峰村</w:t>
                  </w:r>
                  <w:r>
                    <w:rPr>
                      <w:rFonts w:hint="eastAsia"/>
                      <w:u w:val="single"/>
                    </w:rPr>
                    <w:t>，不位于群众活动频繁地段</w:t>
                  </w:r>
                </w:p>
              </w:tc>
              <w:tc>
                <w:tcPr>
                  <w:tcW w:w="383" w:type="pct"/>
                  <w:noWrap w:val="0"/>
                  <w:vAlign w:val="center"/>
                </w:tcPr>
                <w:p>
                  <w:pPr>
                    <w:pStyle w:val="38"/>
                    <w:bidi w:val="0"/>
                    <w:rPr>
                      <w:u w:val="single"/>
                    </w:rPr>
                  </w:pPr>
                  <w:r>
                    <w:rPr>
                      <w:u w:val="single"/>
                    </w:rPr>
                    <w:t>满足</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89" w:type="pct"/>
                  <w:vMerge w:val="continue"/>
                  <w:noWrap w:val="0"/>
                  <w:vAlign w:val="center"/>
                </w:tcPr>
                <w:p>
                  <w:pPr>
                    <w:pStyle w:val="38"/>
                    <w:bidi w:val="0"/>
                    <w:rPr>
                      <w:u w:val="single"/>
                    </w:rPr>
                  </w:pPr>
                </w:p>
              </w:tc>
              <w:tc>
                <w:tcPr>
                  <w:tcW w:w="284" w:type="pct"/>
                  <w:noWrap w:val="0"/>
                  <w:vAlign w:val="center"/>
                </w:tcPr>
                <w:p>
                  <w:pPr>
                    <w:pStyle w:val="38"/>
                    <w:bidi w:val="0"/>
                    <w:rPr>
                      <w:u w:val="single"/>
                    </w:rPr>
                  </w:pPr>
                  <w:r>
                    <w:rPr>
                      <w:u w:val="single"/>
                    </w:rPr>
                    <w:t>5</w:t>
                  </w:r>
                </w:p>
              </w:tc>
              <w:tc>
                <w:tcPr>
                  <w:tcW w:w="2165" w:type="pct"/>
                  <w:noWrap w:val="0"/>
                  <w:vAlign w:val="center"/>
                </w:tcPr>
                <w:p>
                  <w:pPr>
                    <w:pStyle w:val="38"/>
                    <w:bidi w:val="0"/>
                    <w:rPr>
                      <w:u w:val="single"/>
                    </w:rPr>
                  </w:pPr>
                  <w:r>
                    <w:rPr>
                      <w:rFonts w:hint="eastAsia"/>
                      <w:u w:val="single"/>
                    </w:rPr>
                    <w:t>垃圾转运站应设在交通运输方便、市政条件较好并对居民影响较小的地区</w:t>
                  </w:r>
                  <w:r>
                    <w:rPr>
                      <w:u w:val="single"/>
                    </w:rPr>
                    <w:t>。</w:t>
                  </w:r>
                </w:p>
              </w:tc>
              <w:tc>
                <w:tcPr>
                  <w:tcW w:w="1278" w:type="pct"/>
                  <w:noWrap w:val="0"/>
                  <w:vAlign w:val="center"/>
                </w:tcPr>
                <w:p>
                  <w:pPr>
                    <w:pStyle w:val="38"/>
                    <w:bidi w:val="0"/>
                    <w:rPr>
                      <w:u w:val="single"/>
                    </w:rPr>
                  </w:pPr>
                  <w:r>
                    <w:rPr>
                      <w:rFonts w:hint="eastAsia"/>
                      <w:u w:val="single"/>
                    </w:rPr>
                    <w:t>本项目位于G209公路旁边，交通运输方便</w:t>
                  </w:r>
                </w:p>
              </w:tc>
              <w:tc>
                <w:tcPr>
                  <w:tcW w:w="383" w:type="pct"/>
                  <w:noWrap w:val="0"/>
                  <w:vAlign w:val="center"/>
                </w:tcPr>
                <w:p>
                  <w:pPr>
                    <w:pStyle w:val="38"/>
                    <w:bidi w:val="0"/>
                    <w:rPr>
                      <w:u w:val="single"/>
                    </w:rPr>
                  </w:pPr>
                  <w:r>
                    <w:rPr>
                      <w:u w:val="single"/>
                    </w:rPr>
                    <w:t>满足</w:t>
                  </w:r>
                </w:p>
              </w:tc>
            </w:tr>
          </w:tbl>
          <w:p>
            <w:pPr>
              <w:keepNext w:val="0"/>
              <w:keepLines w:val="0"/>
              <w:pageBreakBefore w:val="0"/>
              <w:widowControl w:val="0"/>
              <w:kinsoku/>
              <w:wordWrap w:val="0"/>
              <w:overflowPunct/>
              <w:topLinePunct w:val="0"/>
              <w:autoSpaceDE w:val="0"/>
              <w:autoSpaceDN w:val="0"/>
              <w:bidi w:val="0"/>
              <w:adjustRightInd/>
              <w:snapToGrid/>
              <w:spacing w:before="0" w:beforeLines="100" w:line="360" w:lineRule="auto"/>
              <w:ind w:firstLine="480" w:firstLineChars="200"/>
              <w:jc w:val="both"/>
              <w:textAlignment w:val="auto"/>
              <w:rPr>
                <w:rFonts w:hint="default" w:ascii="Times New Roman" w:hAnsi="Times New Roman" w:cs="Times New Roman"/>
                <w:color w:val="000000"/>
                <w:sz w:val="24"/>
                <w:szCs w:val="24"/>
                <w:u w:val="single"/>
              </w:rPr>
            </w:pPr>
            <w:r>
              <w:rPr>
                <w:rFonts w:hint="default" w:ascii="Times New Roman" w:hAnsi="Times New Roman" w:cs="Times New Roman"/>
                <w:color w:val="000000"/>
                <w:sz w:val="24"/>
                <w:szCs w:val="24"/>
                <w:u w:val="single"/>
              </w:rPr>
              <w:t>根据《生活垃圾转运站技术规范》（CJJ47-2016），垃圾转运站与相邻的建筑物距离要大于等于</w:t>
            </w:r>
            <w:r>
              <w:rPr>
                <w:rFonts w:hint="default" w:ascii="Times New Roman" w:hAnsi="Times New Roman" w:cs="Times New Roman"/>
                <w:color w:val="000000"/>
                <w:sz w:val="24"/>
                <w:szCs w:val="24"/>
                <w:u w:val="single"/>
                <w:lang w:val="en-US" w:eastAsia="zh-CN"/>
              </w:rPr>
              <w:t>15</w:t>
            </w:r>
            <w:r>
              <w:rPr>
                <w:rFonts w:hint="default" w:ascii="Times New Roman" w:hAnsi="Times New Roman" w:cs="Times New Roman"/>
                <w:color w:val="000000"/>
                <w:sz w:val="24"/>
                <w:szCs w:val="24"/>
                <w:u w:val="single"/>
              </w:rPr>
              <w:t>m（见表</w:t>
            </w:r>
            <w:r>
              <w:rPr>
                <w:rFonts w:hint="default" w:ascii="Times New Roman" w:hAnsi="Times New Roman" w:cs="Times New Roman"/>
                <w:color w:val="000000"/>
                <w:sz w:val="24"/>
                <w:szCs w:val="24"/>
                <w:u w:val="single"/>
                <w:lang w:val="en-US" w:eastAsia="zh-CN"/>
              </w:rPr>
              <w:t>1-6</w:t>
            </w:r>
            <w:r>
              <w:rPr>
                <w:rFonts w:hint="default" w:ascii="Times New Roman" w:hAnsi="Times New Roman" w:cs="Times New Roman"/>
                <w:color w:val="000000"/>
                <w:sz w:val="24"/>
                <w:szCs w:val="24"/>
                <w:u w:val="single"/>
              </w:rPr>
              <w:t>），</w:t>
            </w:r>
            <w:r>
              <w:rPr>
                <w:rFonts w:hint="eastAsia" w:ascii="Times New Roman" w:hAnsi="Times New Roman"/>
                <w:color w:val="000000"/>
                <w:sz w:val="24"/>
                <w:szCs w:val="24"/>
                <w:u w:val="single"/>
              </w:rPr>
              <w:t>项目选址</w:t>
            </w:r>
            <w:r>
              <w:rPr>
                <w:rFonts w:ascii="Times New Roman" w:hAnsi="Times New Roman"/>
                <w:color w:val="000000"/>
                <w:sz w:val="24"/>
                <w:szCs w:val="24"/>
                <w:u w:val="single"/>
              </w:rPr>
              <w:t>周边</w:t>
            </w:r>
            <w:r>
              <w:rPr>
                <w:rFonts w:hint="eastAsia"/>
                <w:color w:val="000000"/>
                <w:sz w:val="24"/>
                <w:szCs w:val="24"/>
                <w:u w:val="single"/>
                <w:lang w:eastAsia="zh-CN"/>
              </w:rPr>
              <w:t>最近居民点为东南侧约</w:t>
            </w:r>
            <w:r>
              <w:rPr>
                <w:rFonts w:hint="eastAsia"/>
                <w:color w:val="000000"/>
                <w:sz w:val="24"/>
                <w:szCs w:val="24"/>
                <w:u w:val="single"/>
                <w:lang w:val="en-US" w:eastAsia="zh-CN"/>
              </w:rPr>
              <w:t>880米的十里牌村散户</w:t>
            </w:r>
            <w:r>
              <w:rPr>
                <w:rFonts w:hint="default" w:ascii="Times New Roman" w:hAnsi="Times New Roman" w:cs="Times New Roman"/>
                <w:color w:val="000000"/>
                <w:sz w:val="24"/>
                <w:szCs w:val="24"/>
                <w:u w:val="single"/>
              </w:rPr>
              <w:t>。</w:t>
            </w:r>
          </w:p>
          <w:p>
            <w:pPr>
              <w:pStyle w:val="55"/>
              <w:rPr>
                <w:u w:val="single"/>
              </w:rPr>
            </w:pPr>
            <w:r>
              <w:rPr>
                <w:u w:val="single"/>
              </w:rPr>
              <w:t>表</w:t>
            </w:r>
            <w:r>
              <w:rPr>
                <w:rFonts w:hint="eastAsia"/>
                <w:u w:val="single"/>
                <w:lang w:val="en-US" w:eastAsia="zh-CN"/>
              </w:rPr>
              <w:t>1-6</w:t>
            </w:r>
            <w:r>
              <w:rPr>
                <w:u w:val="single"/>
              </w:rPr>
              <w:t xml:space="preserve">  垃圾转运站主要用地指标</w:t>
            </w:r>
          </w:p>
          <w:tbl>
            <w:tblPr>
              <w:tblStyle w:val="31"/>
              <w:tblW w:w="82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9"/>
              <w:gridCol w:w="983"/>
              <w:gridCol w:w="1962"/>
              <w:gridCol w:w="1963"/>
              <w:gridCol w:w="24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962" w:type="dxa"/>
                  <w:gridSpan w:val="2"/>
                  <w:shd w:val="clear" w:color="auto" w:fill="auto"/>
                  <w:noWrap w:val="0"/>
                  <w:vAlign w:val="center"/>
                </w:tcPr>
                <w:p>
                  <w:pPr>
                    <w:pStyle w:val="38"/>
                    <w:bidi w:val="0"/>
                    <w:rPr>
                      <w:u w:val="single"/>
                    </w:rPr>
                  </w:pPr>
                  <w:r>
                    <w:rPr>
                      <w:u w:val="single"/>
                    </w:rPr>
                    <w:t>类型</w:t>
                  </w:r>
                </w:p>
              </w:tc>
              <w:tc>
                <w:tcPr>
                  <w:tcW w:w="1962" w:type="dxa"/>
                  <w:shd w:val="clear" w:color="auto" w:fill="auto"/>
                  <w:noWrap w:val="0"/>
                  <w:vAlign w:val="center"/>
                </w:tcPr>
                <w:p>
                  <w:pPr>
                    <w:pStyle w:val="38"/>
                    <w:bidi w:val="0"/>
                    <w:rPr>
                      <w:u w:val="single"/>
                    </w:rPr>
                  </w:pPr>
                  <w:r>
                    <w:rPr>
                      <w:u w:val="single"/>
                    </w:rPr>
                    <w:t>设计转运量(t/d)</w:t>
                  </w:r>
                </w:p>
              </w:tc>
              <w:tc>
                <w:tcPr>
                  <w:tcW w:w="1963" w:type="dxa"/>
                  <w:shd w:val="clear" w:color="auto" w:fill="auto"/>
                  <w:noWrap w:val="0"/>
                  <w:vAlign w:val="center"/>
                </w:tcPr>
                <w:p>
                  <w:pPr>
                    <w:pStyle w:val="38"/>
                    <w:bidi w:val="0"/>
                    <w:rPr>
                      <w:u w:val="single"/>
                    </w:rPr>
                  </w:pPr>
                  <w:r>
                    <w:rPr>
                      <w:u w:val="single"/>
                    </w:rPr>
                    <w:t>用地面积m</w:t>
                  </w:r>
                  <w:r>
                    <w:rPr>
                      <w:u w:val="single"/>
                      <w:vertAlign w:val="superscript"/>
                    </w:rPr>
                    <w:t>2</w:t>
                  </w:r>
                </w:p>
              </w:tc>
              <w:tc>
                <w:tcPr>
                  <w:tcW w:w="2410" w:type="dxa"/>
                  <w:shd w:val="clear" w:color="auto" w:fill="auto"/>
                  <w:noWrap w:val="0"/>
                  <w:vAlign w:val="center"/>
                </w:tcPr>
                <w:p>
                  <w:pPr>
                    <w:pStyle w:val="38"/>
                    <w:bidi w:val="0"/>
                    <w:rPr>
                      <w:u w:val="single"/>
                    </w:rPr>
                  </w:pPr>
                  <w:r>
                    <w:rPr>
                      <w:u w:val="single"/>
                    </w:rPr>
                    <w:t>与相邻建筑间隔(m)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979" w:type="dxa"/>
                  <w:vMerge w:val="restart"/>
                  <w:shd w:val="clear" w:color="auto" w:fill="auto"/>
                  <w:noWrap w:val="0"/>
                  <w:vAlign w:val="center"/>
                </w:tcPr>
                <w:p>
                  <w:pPr>
                    <w:pStyle w:val="38"/>
                    <w:bidi w:val="0"/>
                    <w:rPr>
                      <w:u w:val="single"/>
                    </w:rPr>
                  </w:pPr>
                  <w:r>
                    <w:rPr>
                      <w:u w:val="single"/>
                    </w:rPr>
                    <w:t>大型</w:t>
                  </w:r>
                </w:p>
              </w:tc>
              <w:tc>
                <w:tcPr>
                  <w:tcW w:w="983" w:type="dxa"/>
                  <w:shd w:val="clear" w:color="auto" w:fill="auto"/>
                  <w:noWrap w:val="0"/>
                  <w:vAlign w:val="center"/>
                </w:tcPr>
                <w:p>
                  <w:pPr>
                    <w:pStyle w:val="38"/>
                    <w:bidi w:val="0"/>
                    <w:rPr>
                      <w:u w:val="single"/>
                    </w:rPr>
                  </w:pPr>
                  <w:r>
                    <w:rPr>
                      <w:rFonts w:hint="eastAsia"/>
                      <w:u w:val="single"/>
                    </w:rPr>
                    <w:t>Ⅰ</w:t>
                  </w:r>
                </w:p>
              </w:tc>
              <w:tc>
                <w:tcPr>
                  <w:tcW w:w="1962" w:type="dxa"/>
                  <w:shd w:val="clear" w:color="auto" w:fill="auto"/>
                  <w:noWrap w:val="0"/>
                  <w:vAlign w:val="center"/>
                </w:tcPr>
                <w:p>
                  <w:pPr>
                    <w:pStyle w:val="38"/>
                    <w:bidi w:val="0"/>
                    <w:rPr>
                      <w:u w:val="single"/>
                    </w:rPr>
                  </w:pPr>
                  <w:r>
                    <w:rPr>
                      <w:u w:val="single"/>
                    </w:rPr>
                    <w:t>≥1000</w:t>
                  </w:r>
                  <w:r>
                    <w:rPr>
                      <w:rFonts w:hint="eastAsia"/>
                      <w:u w:val="single"/>
                    </w:rPr>
                    <w:t>，</w:t>
                  </w:r>
                  <w:r>
                    <w:rPr>
                      <w:u w:val="single"/>
                    </w:rPr>
                    <w:t>≤3000</w:t>
                  </w:r>
                </w:p>
              </w:tc>
              <w:tc>
                <w:tcPr>
                  <w:tcW w:w="1963" w:type="dxa"/>
                  <w:shd w:val="clear" w:color="auto" w:fill="auto"/>
                  <w:noWrap w:val="0"/>
                  <w:vAlign w:val="center"/>
                </w:tcPr>
                <w:p>
                  <w:pPr>
                    <w:pStyle w:val="38"/>
                    <w:bidi w:val="0"/>
                    <w:rPr>
                      <w:rFonts w:hint="eastAsia"/>
                      <w:u w:val="single"/>
                    </w:rPr>
                  </w:pPr>
                  <w:r>
                    <w:rPr>
                      <w:u w:val="single"/>
                    </w:rPr>
                    <w:t>≥</w:t>
                  </w:r>
                  <w:r>
                    <w:rPr>
                      <w:rFonts w:hint="eastAsia"/>
                      <w:u w:val="single"/>
                    </w:rPr>
                    <w:t>15</w:t>
                  </w:r>
                  <w:r>
                    <w:rPr>
                      <w:u w:val="single"/>
                    </w:rPr>
                    <w:t>000</w:t>
                  </w:r>
                  <w:r>
                    <w:rPr>
                      <w:rFonts w:hint="eastAsia"/>
                      <w:u w:val="single"/>
                    </w:rPr>
                    <w:t>，</w:t>
                  </w:r>
                  <w:r>
                    <w:rPr>
                      <w:u w:val="single"/>
                    </w:rPr>
                    <w:t>≤</w:t>
                  </w:r>
                  <w:r>
                    <w:rPr>
                      <w:rFonts w:hint="eastAsia"/>
                      <w:u w:val="single"/>
                    </w:rPr>
                    <w:t>30000</w:t>
                  </w:r>
                </w:p>
              </w:tc>
              <w:tc>
                <w:tcPr>
                  <w:tcW w:w="2410" w:type="dxa"/>
                  <w:shd w:val="clear" w:color="auto" w:fill="auto"/>
                  <w:noWrap w:val="0"/>
                  <w:vAlign w:val="center"/>
                </w:tcPr>
                <w:p>
                  <w:pPr>
                    <w:pStyle w:val="38"/>
                    <w:bidi w:val="0"/>
                    <w:rPr>
                      <w:rFonts w:hint="eastAsia"/>
                      <w:u w:val="single"/>
                    </w:rPr>
                  </w:pPr>
                  <w:r>
                    <w:rPr>
                      <w:u w:val="single"/>
                    </w:rPr>
                    <w:t>≥</w:t>
                  </w:r>
                  <w:r>
                    <w:rPr>
                      <w:rFonts w:hint="eastAsia"/>
                      <w:u w:val="single"/>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79" w:type="dxa"/>
                  <w:vMerge w:val="continue"/>
                  <w:shd w:val="clear" w:color="auto" w:fill="auto"/>
                  <w:noWrap w:val="0"/>
                  <w:vAlign w:val="center"/>
                </w:tcPr>
                <w:p>
                  <w:pPr>
                    <w:pStyle w:val="38"/>
                    <w:bidi w:val="0"/>
                    <w:rPr>
                      <w:u w:val="single"/>
                    </w:rPr>
                  </w:pPr>
                </w:p>
              </w:tc>
              <w:tc>
                <w:tcPr>
                  <w:tcW w:w="983" w:type="dxa"/>
                  <w:shd w:val="clear" w:color="auto" w:fill="auto"/>
                  <w:noWrap w:val="0"/>
                  <w:vAlign w:val="center"/>
                </w:tcPr>
                <w:p>
                  <w:pPr>
                    <w:pStyle w:val="38"/>
                    <w:bidi w:val="0"/>
                    <w:rPr>
                      <w:u w:val="single"/>
                    </w:rPr>
                  </w:pPr>
                  <w:r>
                    <w:rPr>
                      <w:rFonts w:hint="eastAsia"/>
                      <w:u w:val="single"/>
                    </w:rPr>
                    <w:t>Ⅱ</w:t>
                  </w:r>
                </w:p>
              </w:tc>
              <w:tc>
                <w:tcPr>
                  <w:tcW w:w="1962" w:type="dxa"/>
                  <w:shd w:val="clear" w:color="auto" w:fill="auto"/>
                  <w:noWrap w:val="0"/>
                  <w:vAlign w:val="center"/>
                </w:tcPr>
                <w:p>
                  <w:pPr>
                    <w:pStyle w:val="38"/>
                    <w:bidi w:val="0"/>
                    <w:rPr>
                      <w:u w:val="single"/>
                    </w:rPr>
                  </w:pPr>
                  <w:r>
                    <w:rPr>
                      <w:u w:val="single"/>
                    </w:rPr>
                    <w:t>≥450</w:t>
                  </w:r>
                  <w:r>
                    <w:rPr>
                      <w:rFonts w:hint="eastAsia"/>
                      <w:u w:val="single"/>
                    </w:rPr>
                    <w:t>，</w:t>
                  </w:r>
                  <w:r>
                    <w:rPr>
                      <w:u w:val="single"/>
                    </w:rPr>
                    <w:t>≤1000</w:t>
                  </w:r>
                </w:p>
              </w:tc>
              <w:tc>
                <w:tcPr>
                  <w:tcW w:w="1963" w:type="dxa"/>
                  <w:shd w:val="clear" w:color="auto" w:fill="auto"/>
                  <w:noWrap w:val="0"/>
                  <w:vAlign w:val="center"/>
                </w:tcPr>
                <w:p>
                  <w:pPr>
                    <w:pStyle w:val="38"/>
                    <w:bidi w:val="0"/>
                    <w:rPr>
                      <w:u w:val="single"/>
                    </w:rPr>
                  </w:pPr>
                  <w:r>
                    <w:rPr>
                      <w:u w:val="single"/>
                    </w:rPr>
                    <w:t>≥1</w:t>
                  </w:r>
                  <w:r>
                    <w:rPr>
                      <w:rFonts w:hint="eastAsia"/>
                      <w:u w:val="single"/>
                    </w:rPr>
                    <w:t>0</w:t>
                  </w:r>
                  <w:r>
                    <w:rPr>
                      <w:u w:val="single"/>
                    </w:rPr>
                    <w:t>000</w:t>
                  </w:r>
                  <w:r>
                    <w:rPr>
                      <w:rFonts w:hint="eastAsia"/>
                      <w:u w:val="single"/>
                    </w:rPr>
                    <w:t>，</w:t>
                  </w:r>
                  <w:r>
                    <w:rPr>
                      <w:u w:val="single"/>
                    </w:rPr>
                    <w:t>&lt;20000</w:t>
                  </w:r>
                </w:p>
              </w:tc>
              <w:tc>
                <w:tcPr>
                  <w:tcW w:w="2410" w:type="dxa"/>
                  <w:shd w:val="clear" w:color="auto" w:fill="auto"/>
                  <w:noWrap w:val="0"/>
                  <w:vAlign w:val="center"/>
                </w:tcPr>
                <w:p>
                  <w:pPr>
                    <w:pStyle w:val="38"/>
                    <w:bidi w:val="0"/>
                    <w:rPr>
                      <w:rFonts w:hint="eastAsia"/>
                      <w:u w:val="single"/>
                    </w:rPr>
                  </w:pPr>
                  <w:r>
                    <w:rPr>
                      <w:u w:val="single"/>
                    </w:rPr>
                    <w:t>≥</w:t>
                  </w:r>
                  <w:r>
                    <w:rPr>
                      <w:rFonts w:hint="eastAsia"/>
                      <w:u w:val="single"/>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79" w:type="dxa"/>
                  <w:shd w:val="clear" w:color="auto" w:fill="auto"/>
                  <w:noWrap w:val="0"/>
                  <w:vAlign w:val="center"/>
                </w:tcPr>
                <w:p>
                  <w:pPr>
                    <w:pStyle w:val="38"/>
                    <w:bidi w:val="0"/>
                    <w:rPr>
                      <w:u w:val="single"/>
                    </w:rPr>
                  </w:pPr>
                  <w:r>
                    <w:rPr>
                      <w:u w:val="single"/>
                    </w:rPr>
                    <w:t>中型</w:t>
                  </w:r>
                </w:p>
              </w:tc>
              <w:tc>
                <w:tcPr>
                  <w:tcW w:w="983" w:type="dxa"/>
                  <w:shd w:val="clear" w:color="auto" w:fill="auto"/>
                  <w:noWrap w:val="0"/>
                  <w:vAlign w:val="center"/>
                </w:tcPr>
                <w:p>
                  <w:pPr>
                    <w:pStyle w:val="38"/>
                    <w:bidi w:val="0"/>
                    <w:rPr>
                      <w:u w:val="single"/>
                    </w:rPr>
                  </w:pPr>
                  <w:r>
                    <w:rPr>
                      <w:rFonts w:hint="eastAsia"/>
                      <w:u w:val="single"/>
                    </w:rPr>
                    <w:t>Ⅲ</w:t>
                  </w:r>
                </w:p>
              </w:tc>
              <w:tc>
                <w:tcPr>
                  <w:tcW w:w="1962" w:type="dxa"/>
                  <w:shd w:val="clear" w:color="auto" w:fill="auto"/>
                  <w:noWrap w:val="0"/>
                  <w:vAlign w:val="center"/>
                </w:tcPr>
                <w:p>
                  <w:pPr>
                    <w:pStyle w:val="38"/>
                    <w:bidi w:val="0"/>
                    <w:rPr>
                      <w:u w:val="single"/>
                    </w:rPr>
                  </w:pPr>
                  <w:r>
                    <w:rPr>
                      <w:u w:val="single"/>
                    </w:rPr>
                    <w:t>≥150</w:t>
                  </w:r>
                  <w:r>
                    <w:rPr>
                      <w:rFonts w:hint="eastAsia"/>
                      <w:u w:val="single"/>
                    </w:rPr>
                    <w:t>，</w:t>
                  </w:r>
                  <w:r>
                    <w:rPr>
                      <w:u w:val="single"/>
                    </w:rPr>
                    <w:t>≤450</w:t>
                  </w:r>
                </w:p>
              </w:tc>
              <w:tc>
                <w:tcPr>
                  <w:tcW w:w="1963" w:type="dxa"/>
                  <w:shd w:val="clear" w:color="auto" w:fill="auto"/>
                  <w:noWrap w:val="0"/>
                  <w:vAlign w:val="center"/>
                </w:tcPr>
                <w:p>
                  <w:pPr>
                    <w:pStyle w:val="38"/>
                    <w:bidi w:val="0"/>
                    <w:rPr>
                      <w:u w:val="single"/>
                    </w:rPr>
                  </w:pPr>
                  <w:r>
                    <w:rPr>
                      <w:u w:val="single"/>
                    </w:rPr>
                    <w:t>≥4000</w:t>
                  </w:r>
                  <w:r>
                    <w:rPr>
                      <w:rFonts w:hint="eastAsia"/>
                      <w:u w:val="single"/>
                    </w:rPr>
                    <w:t>，</w:t>
                  </w:r>
                  <w:r>
                    <w:rPr>
                      <w:u w:val="single"/>
                    </w:rPr>
                    <w:t>&lt;15000</w:t>
                  </w:r>
                </w:p>
              </w:tc>
              <w:tc>
                <w:tcPr>
                  <w:tcW w:w="2410" w:type="dxa"/>
                  <w:shd w:val="clear" w:color="auto" w:fill="auto"/>
                  <w:noWrap w:val="0"/>
                  <w:vAlign w:val="center"/>
                </w:tcPr>
                <w:p>
                  <w:pPr>
                    <w:pStyle w:val="38"/>
                    <w:bidi w:val="0"/>
                    <w:rPr>
                      <w:u w:val="single"/>
                    </w:rPr>
                  </w:pPr>
                  <w:r>
                    <w:rPr>
                      <w:u w:val="single"/>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79" w:type="dxa"/>
                  <w:vMerge w:val="restart"/>
                  <w:shd w:val="clear" w:color="auto" w:fill="auto"/>
                  <w:noWrap w:val="0"/>
                  <w:vAlign w:val="center"/>
                </w:tcPr>
                <w:p>
                  <w:pPr>
                    <w:pStyle w:val="38"/>
                    <w:bidi w:val="0"/>
                    <w:rPr>
                      <w:u w:val="single"/>
                    </w:rPr>
                  </w:pPr>
                  <w:r>
                    <w:rPr>
                      <w:u w:val="single"/>
                    </w:rPr>
                    <w:t>小型</w:t>
                  </w:r>
                </w:p>
              </w:tc>
              <w:tc>
                <w:tcPr>
                  <w:tcW w:w="983" w:type="dxa"/>
                  <w:shd w:val="clear" w:color="auto" w:fill="auto"/>
                  <w:noWrap w:val="0"/>
                  <w:vAlign w:val="center"/>
                </w:tcPr>
                <w:p>
                  <w:pPr>
                    <w:pStyle w:val="38"/>
                    <w:bidi w:val="0"/>
                    <w:rPr>
                      <w:u w:val="single"/>
                    </w:rPr>
                  </w:pPr>
                  <w:r>
                    <w:rPr>
                      <w:rFonts w:hint="eastAsia"/>
                      <w:u w:val="single"/>
                    </w:rPr>
                    <w:t>Ⅳ</w:t>
                  </w:r>
                </w:p>
              </w:tc>
              <w:tc>
                <w:tcPr>
                  <w:tcW w:w="1962" w:type="dxa"/>
                  <w:shd w:val="clear" w:color="auto" w:fill="auto"/>
                  <w:noWrap w:val="0"/>
                  <w:vAlign w:val="center"/>
                </w:tcPr>
                <w:p>
                  <w:pPr>
                    <w:pStyle w:val="38"/>
                    <w:bidi w:val="0"/>
                    <w:rPr>
                      <w:u w:val="single"/>
                    </w:rPr>
                  </w:pPr>
                  <w:r>
                    <w:rPr>
                      <w:u w:val="single"/>
                    </w:rPr>
                    <w:t>≥50</w:t>
                  </w:r>
                  <w:r>
                    <w:rPr>
                      <w:rFonts w:hint="eastAsia"/>
                      <w:u w:val="single"/>
                    </w:rPr>
                    <w:t>，</w:t>
                  </w:r>
                  <w:r>
                    <w:rPr>
                      <w:u w:val="single"/>
                    </w:rPr>
                    <w:t>&lt;150</w:t>
                  </w:r>
                </w:p>
              </w:tc>
              <w:tc>
                <w:tcPr>
                  <w:tcW w:w="1963" w:type="dxa"/>
                  <w:shd w:val="clear" w:color="auto" w:fill="auto"/>
                  <w:noWrap w:val="0"/>
                  <w:vAlign w:val="center"/>
                </w:tcPr>
                <w:p>
                  <w:pPr>
                    <w:pStyle w:val="38"/>
                    <w:bidi w:val="0"/>
                    <w:rPr>
                      <w:u w:val="single"/>
                    </w:rPr>
                  </w:pPr>
                  <w:r>
                    <w:rPr>
                      <w:u w:val="single"/>
                    </w:rPr>
                    <w:t>≥1000</w:t>
                  </w:r>
                  <w:r>
                    <w:rPr>
                      <w:rFonts w:hint="eastAsia"/>
                      <w:u w:val="single"/>
                    </w:rPr>
                    <w:t>，</w:t>
                  </w:r>
                  <w:r>
                    <w:rPr>
                      <w:u w:val="single"/>
                    </w:rPr>
                    <w:t>&lt;4000</w:t>
                  </w:r>
                </w:p>
              </w:tc>
              <w:tc>
                <w:tcPr>
                  <w:tcW w:w="2410" w:type="dxa"/>
                  <w:shd w:val="clear" w:color="auto" w:fill="auto"/>
                  <w:noWrap w:val="0"/>
                  <w:vAlign w:val="center"/>
                </w:tcPr>
                <w:p>
                  <w:pPr>
                    <w:pStyle w:val="38"/>
                    <w:bidi w:val="0"/>
                    <w:rPr>
                      <w:u w:val="single"/>
                    </w:rPr>
                  </w:pPr>
                  <w:r>
                    <w:rPr>
                      <w:u w:val="single"/>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79" w:type="dxa"/>
                  <w:vMerge w:val="continue"/>
                  <w:shd w:val="clear" w:color="auto" w:fill="auto"/>
                  <w:noWrap w:val="0"/>
                  <w:vAlign w:val="center"/>
                </w:tcPr>
                <w:p>
                  <w:pPr>
                    <w:pStyle w:val="38"/>
                    <w:bidi w:val="0"/>
                    <w:rPr>
                      <w:u w:val="single"/>
                    </w:rPr>
                  </w:pPr>
                </w:p>
              </w:tc>
              <w:tc>
                <w:tcPr>
                  <w:tcW w:w="983" w:type="dxa"/>
                  <w:shd w:val="clear" w:color="auto" w:fill="auto"/>
                  <w:noWrap w:val="0"/>
                  <w:vAlign w:val="center"/>
                </w:tcPr>
                <w:p>
                  <w:pPr>
                    <w:pStyle w:val="38"/>
                    <w:bidi w:val="0"/>
                    <w:rPr>
                      <w:u w:val="single"/>
                    </w:rPr>
                  </w:pPr>
                  <w:r>
                    <w:rPr>
                      <w:rFonts w:hint="eastAsia"/>
                      <w:u w:val="single"/>
                    </w:rPr>
                    <w:t>Ⅴ</w:t>
                  </w:r>
                </w:p>
              </w:tc>
              <w:tc>
                <w:tcPr>
                  <w:tcW w:w="1962" w:type="dxa"/>
                  <w:shd w:val="clear" w:color="auto" w:fill="auto"/>
                  <w:noWrap w:val="0"/>
                  <w:vAlign w:val="center"/>
                </w:tcPr>
                <w:p>
                  <w:pPr>
                    <w:pStyle w:val="38"/>
                    <w:bidi w:val="0"/>
                    <w:rPr>
                      <w:u w:val="single"/>
                    </w:rPr>
                  </w:pPr>
                  <w:r>
                    <w:rPr>
                      <w:u w:val="single"/>
                    </w:rPr>
                    <w:t>&lt;50</w:t>
                  </w:r>
                </w:p>
              </w:tc>
              <w:tc>
                <w:tcPr>
                  <w:tcW w:w="1963" w:type="dxa"/>
                  <w:shd w:val="clear" w:color="auto" w:fill="auto"/>
                  <w:noWrap w:val="0"/>
                  <w:vAlign w:val="center"/>
                </w:tcPr>
                <w:p>
                  <w:pPr>
                    <w:pStyle w:val="38"/>
                    <w:bidi w:val="0"/>
                    <w:rPr>
                      <w:rFonts w:hint="eastAsia"/>
                      <w:u w:val="single"/>
                    </w:rPr>
                  </w:pPr>
                  <w:r>
                    <w:rPr>
                      <w:u w:val="single"/>
                    </w:rPr>
                    <w:t>≥</w:t>
                  </w:r>
                  <w:r>
                    <w:rPr>
                      <w:rFonts w:hint="eastAsia"/>
                      <w:u w:val="single"/>
                    </w:rPr>
                    <w:t>5</w:t>
                  </w:r>
                  <w:r>
                    <w:rPr>
                      <w:u w:val="single"/>
                    </w:rPr>
                    <w:t>00</w:t>
                  </w:r>
                  <w:r>
                    <w:rPr>
                      <w:rFonts w:hint="eastAsia"/>
                      <w:u w:val="single"/>
                    </w:rPr>
                    <w:t>，</w:t>
                  </w:r>
                  <w:r>
                    <w:rPr>
                      <w:u w:val="single"/>
                    </w:rPr>
                    <w:t>&lt;</w:t>
                  </w:r>
                  <w:r>
                    <w:rPr>
                      <w:rFonts w:hint="eastAsia"/>
                      <w:u w:val="single"/>
                    </w:rPr>
                    <w:t>1000</w:t>
                  </w:r>
                </w:p>
              </w:tc>
              <w:tc>
                <w:tcPr>
                  <w:tcW w:w="2410" w:type="dxa"/>
                  <w:shd w:val="clear" w:color="auto" w:fill="auto"/>
                  <w:noWrap w:val="0"/>
                  <w:vAlign w:val="center"/>
                </w:tcPr>
                <w:p>
                  <w:pPr>
                    <w:pStyle w:val="38"/>
                    <w:bidi w:val="0"/>
                    <w:rPr>
                      <w:u w:val="single"/>
                    </w:rPr>
                  </w:pPr>
                  <w:r>
                    <w:rPr>
                      <w:u w:val="single"/>
                    </w:rPr>
                    <w:t>≥8</w:t>
                  </w:r>
                </w:p>
              </w:tc>
            </w:tr>
          </w:tbl>
          <w:p>
            <w:pPr>
              <w:keepNext w:val="0"/>
              <w:keepLines w:val="0"/>
              <w:pageBreakBefore w:val="0"/>
              <w:widowControl w:val="0"/>
              <w:kinsoku/>
              <w:wordWrap w:val="0"/>
              <w:overflowPunct/>
              <w:topLinePunct w:val="0"/>
              <w:autoSpaceDE w:val="0"/>
              <w:autoSpaceDN w:val="0"/>
              <w:bidi w:val="0"/>
              <w:adjustRightInd/>
              <w:snapToGrid/>
              <w:spacing w:before="0" w:beforeLines="100" w:line="360" w:lineRule="auto"/>
              <w:ind w:firstLine="480" w:firstLineChars="200"/>
              <w:jc w:val="both"/>
              <w:textAlignment w:val="auto"/>
              <w:rPr>
                <w:rFonts w:ascii="Times New Roman" w:hAnsi="Times New Roman"/>
                <w:sz w:val="24"/>
                <w:szCs w:val="24"/>
              </w:rPr>
            </w:pPr>
            <w:r>
              <w:rPr>
                <w:rFonts w:ascii="Times New Roman" w:hAnsi="Times New Roman"/>
                <w:sz w:val="24"/>
                <w:szCs w:val="24"/>
                <w:u w:val="single"/>
              </w:rPr>
              <w:t>综上所述，本项目选址符合《城镇环境卫生设施设置标准》（CJJ27-20</w:t>
            </w:r>
            <w:r>
              <w:rPr>
                <w:rFonts w:hint="eastAsia"/>
                <w:sz w:val="24"/>
                <w:szCs w:val="24"/>
                <w:u w:val="single"/>
                <w:lang w:val="en-US" w:eastAsia="zh-CN"/>
              </w:rPr>
              <w:t>12</w:t>
            </w:r>
            <w:r>
              <w:rPr>
                <w:rFonts w:ascii="Times New Roman" w:hAnsi="Times New Roman"/>
                <w:sz w:val="24"/>
                <w:szCs w:val="24"/>
                <w:u w:val="single"/>
              </w:rPr>
              <w:t>）、《城市环境卫生设施规划规范》（GB50337-20</w:t>
            </w:r>
            <w:r>
              <w:rPr>
                <w:rFonts w:hint="eastAsia"/>
                <w:sz w:val="24"/>
                <w:szCs w:val="24"/>
                <w:u w:val="single"/>
                <w:lang w:val="en-US" w:eastAsia="zh-CN"/>
              </w:rPr>
              <w:t>16</w:t>
            </w:r>
            <w:r>
              <w:rPr>
                <w:rFonts w:ascii="Times New Roman" w:hAnsi="Times New Roman"/>
                <w:sz w:val="24"/>
                <w:szCs w:val="24"/>
                <w:u w:val="single"/>
              </w:rPr>
              <w:t>）、《生活垃圾转运站技术规范》（CJJ47-2016）</w:t>
            </w:r>
            <w:r>
              <w:rPr>
                <w:rFonts w:hint="eastAsia"/>
                <w:sz w:val="24"/>
                <w:szCs w:val="24"/>
                <w:u w:val="single"/>
                <w:lang w:eastAsia="zh-CN"/>
              </w:rPr>
              <w:t>、</w:t>
            </w:r>
            <w:r>
              <w:rPr>
                <w:rFonts w:hint="eastAsia"/>
                <w:sz w:val="24"/>
                <w:szCs w:val="24"/>
                <w:u w:val="single"/>
                <w:lang w:val="en-US" w:eastAsia="zh-CN"/>
              </w:rPr>
              <w:t>《生活垃圾转运站工程项目建设标准》（建标117—2009）</w:t>
            </w:r>
            <w:r>
              <w:rPr>
                <w:rFonts w:ascii="Times New Roman" w:hAnsi="Times New Roman"/>
                <w:sz w:val="24"/>
                <w:szCs w:val="24"/>
                <w:u w:val="single"/>
              </w:rPr>
              <w:t>的要求，同时周边</w:t>
            </w:r>
            <w:r>
              <w:rPr>
                <w:rFonts w:hint="eastAsia"/>
                <w:sz w:val="24"/>
                <w:szCs w:val="24"/>
                <w:u w:val="single"/>
                <w:lang w:eastAsia="zh-CN"/>
              </w:rPr>
              <w:t>最近</w:t>
            </w:r>
            <w:r>
              <w:rPr>
                <w:rFonts w:ascii="Times New Roman" w:hAnsi="Times New Roman"/>
                <w:sz w:val="24"/>
                <w:szCs w:val="24"/>
                <w:u w:val="single"/>
              </w:rPr>
              <w:t>敏感点</w:t>
            </w:r>
            <w:r>
              <w:rPr>
                <w:rFonts w:hint="eastAsia"/>
                <w:sz w:val="24"/>
                <w:szCs w:val="24"/>
                <w:u w:val="single"/>
                <w:lang w:eastAsia="zh-CN"/>
              </w:rPr>
              <w:t>为东南侧约</w:t>
            </w:r>
            <w:r>
              <w:rPr>
                <w:rFonts w:hint="eastAsia"/>
                <w:sz w:val="24"/>
                <w:szCs w:val="24"/>
                <w:u w:val="single"/>
                <w:lang w:val="en-US" w:eastAsia="zh-CN"/>
              </w:rPr>
              <w:t>880米的十里牌村散户</w:t>
            </w:r>
            <w:r>
              <w:rPr>
                <w:rFonts w:ascii="Times New Roman" w:hAnsi="Times New Roman"/>
                <w:sz w:val="24"/>
                <w:szCs w:val="24"/>
                <w:u w:val="single"/>
              </w:rPr>
              <w:t>，转运站服务范围合适，转运能力能够满足现状及长远发展的需求，垃圾收集运输距离远近均有分布。因此，本项目选址合理。</w:t>
            </w:r>
          </w:p>
          <w:p>
            <w:pPr>
              <w:pStyle w:val="8"/>
              <w:bidi w:val="0"/>
              <w:ind w:left="0" w:leftChars="0" w:firstLine="0" w:firstLineChars="0"/>
              <w:jc w:val="both"/>
              <w:rPr>
                <w:b/>
                <w:bCs/>
                <w:lang w:val="en-US"/>
              </w:rPr>
            </w:pPr>
            <w:r>
              <w:rPr>
                <w:rFonts w:hint="eastAsia"/>
                <w:b/>
                <w:bCs/>
                <w:lang w:val="en-US" w:eastAsia="zh-CN"/>
              </w:rPr>
              <w:t>1.9</w:t>
            </w:r>
            <w:r>
              <w:rPr>
                <w:rFonts w:hint="eastAsia"/>
                <w:b/>
                <w:bCs/>
                <w:lang w:val="en-US"/>
              </w:rPr>
              <w:t xml:space="preserve"> 平面布置可行性分析</w:t>
            </w:r>
          </w:p>
          <w:p>
            <w:pPr>
              <w:tabs>
                <w:tab w:val="left" w:pos="425"/>
              </w:tabs>
              <w:ind w:firstLine="460"/>
              <w:jc w:val="both"/>
              <w:rPr>
                <w:rFonts w:hint="default" w:ascii="Times New Roman" w:hAnsi="Times New Roman" w:cs="Times New Roman"/>
                <w:bCs/>
                <w:szCs w:val="22"/>
                <w:u w:val="single"/>
              </w:rPr>
            </w:pPr>
            <w:r>
              <w:rPr>
                <w:rFonts w:hint="default" w:ascii="Times New Roman" w:hAnsi="Times New Roman" w:cs="Times New Roman"/>
                <w:bCs/>
                <w:szCs w:val="22"/>
                <w:u w:val="single"/>
              </w:rPr>
              <w:t>根据《生活垃圾转运站技术规范》（GJJ/T47-2016）</w:t>
            </w:r>
            <w:r>
              <w:rPr>
                <w:rFonts w:hint="eastAsia" w:cs="Times New Roman"/>
                <w:bCs/>
                <w:szCs w:val="22"/>
                <w:u w:val="single"/>
                <w:lang w:eastAsia="zh-CN"/>
              </w:rPr>
              <w:t>、</w:t>
            </w:r>
            <w:r>
              <w:rPr>
                <w:rFonts w:hint="eastAsia" w:cs="Times New Roman"/>
                <w:bCs/>
                <w:szCs w:val="22"/>
                <w:u w:val="single"/>
                <w:lang w:val="en-US" w:eastAsia="zh-CN"/>
              </w:rPr>
              <w:t>《生活垃圾转运站工程项目建设标准》（建标117—2009）</w:t>
            </w:r>
            <w:r>
              <w:rPr>
                <w:rFonts w:hint="default" w:ascii="Times New Roman" w:hAnsi="Times New Roman" w:cs="Times New Roman"/>
                <w:bCs/>
                <w:szCs w:val="22"/>
                <w:u w:val="single"/>
              </w:rPr>
              <w:t>中对转运站总平面布置的要求：</w:t>
            </w:r>
            <w:r>
              <w:rPr>
                <w:rFonts w:hint="eastAsia" w:cs="Times New Roman"/>
                <w:bCs/>
                <w:szCs w:val="22"/>
                <w:u w:val="single"/>
                <w:lang w:eastAsia="zh-CN"/>
              </w:rPr>
              <w:t>“</w:t>
            </w:r>
            <w:r>
              <w:rPr>
                <w:rFonts w:hint="default" w:ascii="Times New Roman" w:hAnsi="Times New Roman" w:cs="Times New Roman"/>
                <w:bCs/>
                <w:szCs w:val="22"/>
                <w:u w:val="single"/>
              </w:rPr>
              <w:t>1</w:t>
            </w:r>
            <w:r>
              <w:rPr>
                <w:rFonts w:hint="eastAsia" w:cs="Times New Roman"/>
                <w:bCs/>
                <w:szCs w:val="22"/>
                <w:u w:val="single"/>
                <w:lang w:eastAsia="zh-CN"/>
              </w:rPr>
              <w:t>、</w:t>
            </w:r>
            <w:r>
              <w:rPr>
                <w:rFonts w:hint="default" w:ascii="Times New Roman" w:hAnsi="Times New Roman" w:cs="Times New Roman"/>
                <w:bCs/>
                <w:szCs w:val="22"/>
                <w:u w:val="single"/>
              </w:rPr>
              <w:t>总平面布置应工艺合理、布置紧凑、交通顺畅，便于转运作业；应符合安全、环保、卫生等要求；2</w:t>
            </w:r>
            <w:r>
              <w:rPr>
                <w:rFonts w:hint="eastAsia" w:cs="Times New Roman"/>
                <w:bCs/>
                <w:szCs w:val="22"/>
                <w:u w:val="single"/>
                <w:lang w:eastAsia="zh-CN"/>
              </w:rPr>
              <w:t>、</w:t>
            </w:r>
            <w:r>
              <w:rPr>
                <w:rFonts w:hint="default" w:ascii="Times New Roman" w:hAnsi="Times New Roman" w:cs="Times New Roman"/>
                <w:bCs/>
                <w:szCs w:val="22"/>
                <w:u w:val="single"/>
              </w:rPr>
              <w:t>转运作业区应置于站区主导风向的下风向；3</w:t>
            </w:r>
            <w:r>
              <w:rPr>
                <w:rFonts w:hint="eastAsia" w:cs="Times New Roman"/>
                <w:bCs/>
                <w:szCs w:val="22"/>
                <w:u w:val="single"/>
                <w:lang w:eastAsia="zh-CN"/>
              </w:rPr>
              <w:t>、</w:t>
            </w:r>
            <w:r>
              <w:rPr>
                <w:rFonts w:hint="default" w:ascii="Times New Roman" w:hAnsi="Times New Roman" w:cs="Times New Roman"/>
                <w:bCs/>
                <w:szCs w:val="22"/>
                <w:u w:val="single"/>
              </w:rPr>
              <w:t>车辆出入口应设置在站区远离周边主要环境保护目标的一端；4</w:t>
            </w:r>
            <w:r>
              <w:rPr>
                <w:rFonts w:hint="eastAsia" w:cs="Times New Roman"/>
                <w:bCs/>
                <w:szCs w:val="22"/>
                <w:u w:val="single"/>
                <w:lang w:eastAsia="zh-CN"/>
              </w:rPr>
              <w:t>、</w:t>
            </w:r>
            <w:r>
              <w:rPr>
                <w:rFonts w:hint="default" w:ascii="Times New Roman" w:hAnsi="Times New Roman" w:cs="Times New Roman"/>
                <w:bCs/>
                <w:szCs w:val="22"/>
                <w:u w:val="single"/>
              </w:rPr>
              <w:t>应设置围墙。</w:t>
            </w:r>
            <w:r>
              <w:rPr>
                <w:rFonts w:hint="eastAsia" w:cs="Times New Roman"/>
                <w:bCs/>
                <w:szCs w:val="22"/>
                <w:u w:val="single"/>
                <w:lang w:eastAsia="zh-CN"/>
              </w:rPr>
              <w:t>”</w:t>
            </w:r>
          </w:p>
          <w:p>
            <w:pPr>
              <w:tabs>
                <w:tab w:val="left" w:pos="425"/>
              </w:tabs>
              <w:ind w:firstLine="460"/>
              <w:jc w:val="both"/>
              <w:rPr>
                <w:rFonts w:hint="eastAsia" w:ascii="Times New Roman" w:hAnsi="Times New Roman" w:eastAsia="宋体" w:cs="Times New Roman"/>
                <w:bCs/>
                <w:szCs w:val="22"/>
                <w:u w:val="single"/>
                <w:lang w:eastAsia="zh-CN"/>
              </w:rPr>
            </w:pPr>
            <w:r>
              <w:rPr>
                <w:rFonts w:hint="eastAsia" w:cs="Times New Roman"/>
                <w:bCs/>
                <w:szCs w:val="22"/>
                <w:u w:val="single"/>
                <w:lang w:eastAsia="zh-CN"/>
              </w:rPr>
              <w:t>凤凰县沱江镇高峰</w:t>
            </w:r>
            <w:r>
              <w:rPr>
                <w:rFonts w:hint="default" w:ascii="Times New Roman" w:hAnsi="Times New Roman" w:cs="Times New Roman"/>
                <w:bCs/>
                <w:szCs w:val="22"/>
                <w:u w:val="single"/>
              </w:rPr>
              <w:t>垃圾转运站四周设置围墙，设置1个出入口，位于厂区</w:t>
            </w:r>
            <w:r>
              <w:rPr>
                <w:rFonts w:hint="eastAsia" w:cs="Times New Roman"/>
                <w:bCs/>
                <w:szCs w:val="22"/>
                <w:u w:val="single"/>
                <w:lang w:eastAsia="zh-CN"/>
              </w:rPr>
              <w:t>南</w:t>
            </w:r>
            <w:r>
              <w:rPr>
                <w:rFonts w:hint="default" w:ascii="Times New Roman" w:hAnsi="Times New Roman" w:cs="Times New Roman"/>
                <w:bCs/>
                <w:szCs w:val="22"/>
                <w:u w:val="single"/>
              </w:rPr>
              <w:t>侧，与现有</w:t>
            </w:r>
            <w:r>
              <w:rPr>
                <w:rFonts w:hint="eastAsia" w:cs="Times New Roman"/>
                <w:bCs/>
                <w:szCs w:val="22"/>
                <w:u w:val="single"/>
                <w:lang w:val="en-US" w:eastAsia="zh-CN"/>
              </w:rPr>
              <w:t>G209</w:t>
            </w:r>
            <w:r>
              <w:rPr>
                <w:rFonts w:hint="default" w:ascii="Times New Roman" w:hAnsi="Times New Roman" w:cs="Times New Roman"/>
                <w:bCs/>
                <w:szCs w:val="22"/>
                <w:u w:val="single"/>
              </w:rPr>
              <w:t>相邻，交通运输便利，远离周边主要环境保护目标，建筑主要分布于厂区西北侧，由北至南，依次</w:t>
            </w:r>
            <w:r>
              <w:rPr>
                <w:rFonts w:hint="eastAsia" w:cs="Times New Roman"/>
                <w:bCs/>
                <w:szCs w:val="22"/>
                <w:u w:val="single"/>
                <w:lang w:eastAsia="zh-CN"/>
              </w:rPr>
              <w:t>为卸料大厅、压装车间（压装车间东侧有一自动洗车间）、转运坪、维修车间及停车位、办公楼</w:t>
            </w:r>
            <w:r>
              <w:rPr>
                <w:rFonts w:hint="default" w:ascii="Times New Roman" w:hAnsi="Times New Roman" w:cs="Times New Roman"/>
                <w:bCs/>
                <w:szCs w:val="22"/>
                <w:u w:val="single"/>
              </w:rPr>
              <w:t>。项目所在地常年主导方向为东北风，项目</w:t>
            </w:r>
            <w:r>
              <w:rPr>
                <w:rFonts w:hint="eastAsia" w:cs="Times New Roman"/>
                <w:bCs/>
                <w:szCs w:val="22"/>
                <w:u w:val="single"/>
                <w:lang w:eastAsia="zh-CN"/>
              </w:rPr>
              <w:t>办公楼</w:t>
            </w:r>
            <w:r>
              <w:rPr>
                <w:rFonts w:hint="default" w:ascii="Times New Roman" w:hAnsi="Times New Roman" w:cs="Times New Roman"/>
                <w:bCs/>
                <w:szCs w:val="22"/>
                <w:u w:val="single"/>
              </w:rPr>
              <w:t>位于主导风向的侧方向，受影响较小</w:t>
            </w:r>
            <w:r>
              <w:rPr>
                <w:rFonts w:hint="eastAsia" w:cs="Times New Roman"/>
                <w:bCs/>
                <w:szCs w:val="22"/>
                <w:u w:val="single"/>
                <w:lang w:eastAsia="zh-CN"/>
              </w:rPr>
              <w:t>。</w:t>
            </w:r>
          </w:p>
          <w:p>
            <w:pPr>
              <w:tabs>
                <w:tab w:val="left" w:pos="425"/>
              </w:tabs>
              <w:ind w:firstLine="460"/>
              <w:jc w:val="both"/>
              <w:rPr>
                <w:rFonts w:hint="default" w:ascii="Times New Roman" w:hAnsi="Times New Roman" w:cs="Times New Roman"/>
                <w:bCs/>
                <w:szCs w:val="22"/>
              </w:rPr>
            </w:pPr>
            <w:r>
              <w:rPr>
                <w:rFonts w:hint="default" w:ascii="Times New Roman" w:hAnsi="Times New Roman" w:cs="Times New Roman"/>
                <w:bCs/>
                <w:szCs w:val="22"/>
                <w:u w:val="single"/>
              </w:rPr>
              <w:t>综上，项目总平面布置合理。</w:t>
            </w:r>
          </w:p>
          <w:p>
            <w:pPr>
              <w:spacing w:before="1"/>
              <w:ind w:left="0" w:leftChars="0" w:firstLine="0" w:firstLineChars="0"/>
              <w:jc w:val="both"/>
              <w:rPr>
                <w:sz w:val="21"/>
              </w:rPr>
            </w:pPr>
          </w:p>
        </w:tc>
      </w:tr>
    </w:tbl>
    <w:p>
      <w:pPr>
        <w:ind w:firstLine="420"/>
        <w:jc w:val="center"/>
        <w:rPr>
          <w:sz w:val="21"/>
        </w:rPr>
        <w:sectPr>
          <w:footerReference r:id="rId14" w:type="default"/>
          <w:footerReference r:id="rId15" w:type="even"/>
          <w:pgSz w:w="11910" w:h="16840"/>
          <w:pgMar w:top="1440" w:right="1800" w:bottom="1440" w:left="1800" w:header="0" w:footer="1043" w:gutter="0"/>
          <w:pgNumType w:start="1"/>
          <w:cols w:space="720" w:num="1"/>
        </w:sectPr>
      </w:pPr>
    </w:p>
    <w:p>
      <w:pPr>
        <w:pStyle w:val="7"/>
      </w:pPr>
      <w:bookmarkStart w:id="8" w:name="_Toc31812"/>
      <w:bookmarkStart w:id="9" w:name="_Toc31206"/>
      <w:r>
        <w:t>二、建设项目工程分析</w:t>
      </w:r>
      <w:bookmarkEnd w:id="8"/>
      <w:bookmarkEnd w:id="9"/>
    </w:p>
    <w:tbl>
      <w:tblPr>
        <w:tblStyle w:val="31"/>
        <w:tblW w:w="5036"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9"/>
        <w:gridCol w:w="79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08" w:hRule="atLeast"/>
          <w:jc w:val="center"/>
        </w:trPr>
        <w:tc>
          <w:tcPr>
            <w:tcW w:w="273" w:type="pct"/>
            <w:tcBorders>
              <w:bottom w:val="single" w:color="000000" w:sz="4" w:space="0"/>
              <w:right w:val="single" w:color="000000" w:sz="4" w:space="0"/>
            </w:tcBorders>
            <w:vAlign w:val="center"/>
          </w:tcPr>
          <w:p>
            <w:pPr>
              <w:pStyle w:val="39"/>
              <w:rPr>
                <w:sz w:val="32"/>
                <w:szCs w:val="32"/>
              </w:rPr>
            </w:pPr>
            <w:r>
              <w:rPr>
                <w:sz w:val="32"/>
                <w:szCs w:val="32"/>
              </w:rPr>
              <w:t>建设内容</w:t>
            </w:r>
          </w:p>
        </w:tc>
        <w:tc>
          <w:tcPr>
            <w:tcW w:w="4726" w:type="pct"/>
            <w:tcBorders>
              <w:left w:val="single" w:color="000000" w:sz="4" w:space="0"/>
              <w:bottom w:val="single" w:color="000000" w:sz="4" w:space="0"/>
            </w:tcBorders>
          </w:tcPr>
          <w:p>
            <w:pPr>
              <w:pStyle w:val="8"/>
              <w:keepNext w:val="0"/>
              <w:keepLines w:val="0"/>
              <w:pageBreakBefore w:val="0"/>
              <w:widowControl w:val="0"/>
              <w:kinsoku/>
              <w:wordWrap w:val="0"/>
              <w:overflowPunct/>
              <w:topLinePunct w:val="0"/>
              <w:autoSpaceDE w:val="0"/>
              <w:autoSpaceDN w:val="0"/>
              <w:bidi w:val="0"/>
              <w:adjustRightInd/>
              <w:snapToGrid/>
              <w:spacing w:before="0" w:after="0"/>
              <w:ind w:left="0" w:leftChars="0" w:firstLine="0" w:firstLineChars="0"/>
              <w:jc w:val="left"/>
              <w:textAlignment w:val="auto"/>
              <w:rPr>
                <w:rFonts w:hint="eastAsia"/>
                <w:b/>
                <w:bCs/>
                <w:lang w:val="en-US" w:eastAsia="zh-CN"/>
              </w:rPr>
            </w:pPr>
            <w:r>
              <w:rPr>
                <w:rFonts w:hint="eastAsia"/>
                <w:b/>
                <w:bCs/>
                <w:lang w:val="en-US"/>
              </w:rPr>
              <w:t>2.1</w:t>
            </w:r>
            <w:r>
              <w:rPr>
                <w:rFonts w:hint="eastAsia"/>
                <w:b/>
                <w:bCs/>
                <w:lang w:val="en-US" w:eastAsia="zh-CN"/>
              </w:rPr>
              <w:t>建设内容</w:t>
            </w:r>
          </w:p>
          <w:p>
            <w:pPr>
              <w:pStyle w:val="9"/>
              <w:keepNext w:val="0"/>
              <w:keepLines w:val="0"/>
              <w:pageBreakBefore w:val="0"/>
              <w:widowControl w:val="0"/>
              <w:kinsoku/>
              <w:wordWrap w:val="0"/>
              <w:overflowPunct/>
              <w:topLinePunct w:val="0"/>
              <w:autoSpaceDE w:val="0"/>
              <w:autoSpaceDN w:val="0"/>
              <w:bidi w:val="0"/>
              <w:adjustRightInd/>
              <w:snapToGrid/>
              <w:spacing w:before="0" w:beforeLines="0" w:after="0" w:afterLines="0" w:line="360" w:lineRule="auto"/>
              <w:textAlignment w:val="auto"/>
              <w:rPr>
                <w:rFonts w:hint="eastAsia"/>
                <w:lang w:eastAsia="zh-CN"/>
              </w:rPr>
            </w:pPr>
            <w:r>
              <w:rPr>
                <w:rFonts w:hint="eastAsia"/>
                <w:lang w:val="en-US" w:eastAsia="zh-CN"/>
              </w:rPr>
              <w:t>2.1.1</w:t>
            </w:r>
            <w:r>
              <w:t>项目</w:t>
            </w:r>
            <w:r>
              <w:rPr>
                <w:rFonts w:hint="eastAsia"/>
                <w:lang w:eastAsia="zh-CN"/>
              </w:rPr>
              <w:t>由来</w:t>
            </w:r>
          </w:p>
          <w:p>
            <w:pPr>
              <w:jc w:val="both"/>
              <w:rPr>
                <w:rFonts w:hint="eastAsia"/>
                <w:u w:val="single"/>
                <w:lang w:val="en-US"/>
              </w:rPr>
            </w:pPr>
            <w:r>
              <w:rPr>
                <w:rFonts w:hint="eastAsia"/>
                <w:u w:val="single"/>
                <w:lang w:val="en-US"/>
              </w:rPr>
              <w:t>2018年9月，中共中央 国务院印发《乡村振兴战略规划（2018－2022年）》,规划指出“推进农村生活垃圾治理，建立健全符合农村实际、方式多样的生活垃圾收运处置体系，有条件的地区推行垃圾就地分类和资源化利用。”2019年9月，《湖南省人民政府办公厅关于推进城乡环境基础设施建设的指导意见》湘政办发〔2019〕42号，意见指出“到2021年，全省县以上城镇生活垃圾无害化处理率达95%以上，建立较为完善的生活垃圾收运体系，市州中心城市全面实施生活垃圾分类，设市城市生活垃圾焚烧处理能力占无害化处理总能力的比例达到55%以上，建筑垃圾资源化利用率达到35%，餐厨垃圾实现有效处置，乡村生活垃圾收集处理基本覆盖”。2019年10月，《湘西自治州人民政府办公室关于推进城乡环境基础设施建设的通知》州政办发〔2019〕37号文件提出“推动生活垃圾收运体系和再生资源回收体系“两网融合”，建设县市级再生资源回收集散中心8个，再生资源回收网点到2022年底覆盖全州80%的行政村，到2023年实现行政村全覆盖。</w:t>
            </w:r>
          </w:p>
          <w:p>
            <w:pPr>
              <w:bidi w:val="0"/>
              <w:jc w:val="both"/>
              <w:rPr>
                <w:u w:val="single"/>
                <w:lang w:val="en-US"/>
              </w:rPr>
            </w:pPr>
            <w:r>
              <w:rPr>
                <w:rFonts w:hint="eastAsia"/>
                <w:u w:val="single"/>
                <w:lang w:val="en-US"/>
              </w:rPr>
              <w:t>本项目建设地点的位于凤凰县</w:t>
            </w:r>
            <w:r>
              <w:rPr>
                <w:rFonts w:hint="eastAsia"/>
                <w:u w:val="single"/>
                <w:lang w:val="en-US" w:eastAsia="zh-CN"/>
              </w:rPr>
              <w:t>沱江</w:t>
            </w:r>
            <w:r>
              <w:rPr>
                <w:rFonts w:hint="eastAsia"/>
                <w:u w:val="single"/>
                <w:lang w:val="en-US"/>
              </w:rPr>
              <w:t>镇</w:t>
            </w:r>
            <w:r>
              <w:rPr>
                <w:rFonts w:hint="eastAsia"/>
                <w:u w:val="single"/>
                <w:lang w:val="en-US" w:eastAsia="zh-CN"/>
              </w:rPr>
              <w:t>高峰村</w:t>
            </w:r>
            <w:r>
              <w:rPr>
                <w:rFonts w:hint="eastAsia"/>
                <w:u w:val="single"/>
                <w:lang w:val="en-US"/>
              </w:rPr>
              <w:t>，目前没有垃圾</w:t>
            </w:r>
            <w:r>
              <w:rPr>
                <w:rFonts w:hint="eastAsia"/>
                <w:u w:val="single"/>
                <w:lang w:val="en-US" w:eastAsia="zh-CN"/>
              </w:rPr>
              <w:t>转运</w:t>
            </w:r>
            <w:r>
              <w:rPr>
                <w:rFonts w:hint="eastAsia"/>
                <w:u w:val="single"/>
                <w:lang w:val="en-US"/>
              </w:rPr>
              <w:t>站</w:t>
            </w:r>
            <w:r>
              <w:rPr>
                <w:rFonts w:hint="eastAsia"/>
                <w:u w:val="single"/>
                <w:lang w:val="en-US" w:eastAsia="zh-CN"/>
              </w:rPr>
              <w:t>，原凤凰县各乡镇的生活垃圾收集后统一运往凤凰县垃圾填埋场进行填埋处理，不仅处理效率低，且对环境危害大，无法对资源进行二次利用</w:t>
            </w:r>
            <w:r>
              <w:rPr>
                <w:rFonts w:hint="eastAsia"/>
                <w:u w:val="single"/>
                <w:lang w:val="en-US"/>
              </w:rPr>
              <w:t>。本项目</w:t>
            </w:r>
            <w:r>
              <w:rPr>
                <w:rFonts w:hint="eastAsia"/>
                <w:u w:val="single"/>
                <w:lang w:val="en-US" w:eastAsia="zh-CN"/>
              </w:rPr>
              <w:t>建成投产以后收集</w:t>
            </w:r>
            <w:r>
              <w:rPr>
                <w:rFonts w:hint="eastAsia"/>
                <w:u w:val="single"/>
                <w:lang w:eastAsia="zh-CN"/>
              </w:rPr>
              <w:t>凤凰县沱江镇、水打田乡、林峰乡、廖家桥镇、阿拉营镇、新场镇、落潮井镇、茶田镇、千工坪镇、山江镇、麻冲乡这</w:t>
            </w:r>
            <w:r>
              <w:rPr>
                <w:rFonts w:hint="eastAsia"/>
                <w:u w:val="single"/>
                <w:lang w:val="en-US" w:eastAsia="zh-CN"/>
              </w:rPr>
              <w:t>11个</w:t>
            </w:r>
            <w:r>
              <w:rPr>
                <w:rFonts w:hint="eastAsia"/>
                <w:u w:val="single"/>
                <w:lang w:eastAsia="zh-CN"/>
              </w:rPr>
              <w:t>乡镇</w:t>
            </w:r>
            <w:r>
              <w:rPr>
                <w:rFonts w:hint="eastAsia"/>
                <w:u w:val="single"/>
                <w:lang w:val="en-US" w:eastAsia="zh-CN"/>
              </w:rPr>
              <w:t>的生活垃圾，可以有效</w:t>
            </w:r>
            <w:r>
              <w:rPr>
                <w:rFonts w:hint="eastAsia"/>
                <w:u w:val="single"/>
                <w:lang w:val="en-US"/>
              </w:rPr>
              <w:t>解决</w:t>
            </w:r>
            <w:r>
              <w:rPr>
                <w:rFonts w:hint="eastAsia"/>
                <w:u w:val="single"/>
                <w:lang w:val="en-US" w:eastAsia="zh-CN"/>
              </w:rPr>
              <w:t>这11个</w:t>
            </w:r>
            <w:r>
              <w:rPr>
                <w:rFonts w:hint="eastAsia"/>
                <w:u w:val="single"/>
                <w:lang w:val="en-US"/>
              </w:rPr>
              <w:t>乡镇现有垃圾储运能力低，运输成本大</w:t>
            </w:r>
            <w:r>
              <w:rPr>
                <w:rFonts w:hint="eastAsia"/>
                <w:u w:val="single"/>
                <w:lang w:val="en-US" w:eastAsia="zh-CN"/>
              </w:rPr>
              <w:t>；</w:t>
            </w:r>
            <w:r>
              <w:rPr>
                <w:rFonts w:hint="eastAsia"/>
                <w:u w:val="single"/>
                <w:lang w:val="en-US"/>
              </w:rPr>
              <w:t>散装垃圾异味大，容积小、不易装卸、易撒漏、沉积脏水、污泥难处理等问题，对于完善乡村基础设施具有重要意义。</w:t>
            </w:r>
          </w:p>
          <w:p>
            <w:pPr>
              <w:pStyle w:val="9"/>
              <w:keepNext w:val="0"/>
              <w:keepLines w:val="0"/>
              <w:pageBreakBefore w:val="0"/>
              <w:widowControl w:val="0"/>
              <w:kinsoku/>
              <w:wordWrap w:val="0"/>
              <w:overflowPunct/>
              <w:topLinePunct w:val="0"/>
              <w:autoSpaceDE w:val="0"/>
              <w:autoSpaceDN w:val="0"/>
              <w:bidi w:val="0"/>
              <w:adjustRightInd/>
              <w:snapToGrid/>
              <w:spacing w:before="0" w:beforeLines="0" w:after="0" w:afterLines="0" w:line="360" w:lineRule="auto"/>
              <w:textAlignment w:val="auto"/>
              <w:rPr>
                <w:rFonts w:hint="eastAsia"/>
                <w:lang w:val="en-US"/>
              </w:rPr>
            </w:pPr>
            <w:r>
              <w:rPr>
                <w:rFonts w:hint="eastAsia"/>
                <w:lang w:val="en-US" w:eastAsia="zh-CN"/>
              </w:rPr>
              <w:t>2.1.2</w:t>
            </w:r>
            <w:r>
              <w:rPr>
                <w:rFonts w:hint="eastAsia"/>
                <w:lang w:val="en-US"/>
              </w:rPr>
              <w:t>主要工程内容</w:t>
            </w:r>
          </w:p>
          <w:p>
            <w:pPr>
              <w:widowControl/>
              <w:numPr>
                <w:ilvl w:val="0"/>
                <w:numId w:val="2"/>
              </w:numPr>
              <w:wordWrap w:val="0"/>
              <w:topLinePunct/>
              <w:adjustRightInd w:val="0"/>
              <w:snapToGrid w:val="0"/>
              <w:spacing w:line="360" w:lineRule="auto"/>
              <w:ind w:left="0" w:leftChars="0" w:firstLine="0" w:firstLineChars="0"/>
            </w:pPr>
            <w:r>
              <w:rPr>
                <w:rFonts w:hint="eastAsia"/>
              </w:rPr>
              <w:t>项目概况</w:t>
            </w:r>
          </w:p>
          <w:p>
            <w:pPr>
              <w:topLinePunct/>
              <w:adjustRightInd w:val="0"/>
              <w:snapToGrid w:val="0"/>
              <w:spacing w:line="360" w:lineRule="auto"/>
              <w:ind w:firstLine="480" w:firstLineChars="200"/>
              <w:rPr>
                <w:rFonts w:hint="default"/>
                <w:lang w:val="en-US" w:eastAsia="zh-CN"/>
              </w:rPr>
            </w:pPr>
            <w:r>
              <w:rPr>
                <w:rFonts w:hint="eastAsia"/>
              </w:rPr>
              <w:t>项目名称：凤凰县沱江镇高峰垃圾转运站项目</w:t>
            </w:r>
          </w:p>
          <w:p>
            <w:pPr>
              <w:topLinePunct/>
              <w:adjustRightInd w:val="0"/>
              <w:snapToGrid w:val="0"/>
              <w:spacing w:line="360" w:lineRule="auto"/>
              <w:ind w:firstLine="480" w:firstLineChars="200"/>
              <w:rPr>
                <w:rFonts w:hint="eastAsia"/>
                <w:lang w:eastAsia="zh-CN"/>
              </w:rPr>
            </w:pPr>
            <w:r>
              <w:rPr>
                <w:rFonts w:hint="eastAsia"/>
              </w:rPr>
              <w:t>建设单位：</w:t>
            </w:r>
            <w:r>
              <w:rPr>
                <w:rFonts w:hint="eastAsia"/>
                <w:lang w:eastAsia="zh-CN"/>
              </w:rPr>
              <w:t>凤凰县住房和城乡建设局（凤凰县人民防空办公室）</w:t>
            </w:r>
          </w:p>
          <w:p>
            <w:pPr>
              <w:topLinePunct/>
              <w:adjustRightInd w:val="0"/>
              <w:snapToGrid w:val="0"/>
              <w:spacing w:line="360" w:lineRule="auto"/>
              <w:ind w:firstLine="480" w:firstLineChars="200"/>
              <w:rPr>
                <w:rFonts w:hint="eastAsia"/>
                <w:lang w:eastAsia="zh-CN"/>
              </w:rPr>
            </w:pPr>
            <w:r>
              <w:rPr>
                <w:rFonts w:hint="eastAsia"/>
              </w:rPr>
              <w:t>建设地点：湘西土家族苗族自治州</w:t>
            </w:r>
            <w:r>
              <w:rPr>
                <w:rFonts w:hint="eastAsia"/>
                <w:lang w:eastAsia="zh-CN"/>
              </w:rPr>
              <w:t>凤凰县沱江镇高峰村</w:t>
            </w:r>
          </w:p>
          <w:p>
            <w:pPr>
              <w:topLinePunct/>
              <w:adjustRightInd w:val="0"/>
              <w:snapToGrid w:val="0"/>
              <w:spacing w:line="360" w:lineRule="auto"/>
              <w:ind w:firstLine="480" w:firstLineChars="200"/>
              <w:rPr>
                <w:rFonts w:hint="eastAsia"/>
                <w:lang w:eastAsia="zh-CN"/>
              </w:rPr>
            </w:pPr>
            <w:r>
              <w:rPr>
                <w:rFonts w:hint="eastAsia"/>
              </w:rPr>
              <w:t>建设性质：</w:t>
            </w:r>
            <w:r>
              <w:rPr>
                <w:rFonts w:hint="eastAsia"/>
                <w:lang w:eastAsia="zh-CN"/>
              </w:rPr>
              <w:t>新建</w:t>
            </w:r>
          </w:p>
          <w:p>
            <w:pPr>
              <w:topLinePunct/>
              <w:adjustRightInd w:val="0"/>
              <w:snapToGrid w:val="0"/>
              <w:spacing w:line="360" w:lineRule="auto"/>
              <w:ind w:firstLine="480" w:firstLineChars="200"/>
              <w:rPr>
                <w:rFonts w:hint="eastAsia"/>
              </w:rPr>
            </w:pPr>
            <w:r>
              <w:rPr>
                <w:rFonts w:hint="eastAsia"/>
              </w:rPr>
              <w:t>项目投资：总投资</w:t>
            </w:r>
            <w:r>
              <w:rPr>
                <w:rFonts w:hint="eastAsia"/>
                <w:lang w:val="en-US" w:eastAsia="zh-CN"/>
              </w:rPr>
              <w:t>2618.47</w:t>
            </w:r>
            <w:r>
              <w:rPr>
                <w:rFonts w:hint="eastAsia"/>
              </w:rPr>
              <w:t>万元。</w:t>
            </w:r>
          </w:p>
          <w:p>
            <w:pPr>
              <w:widowControl/>
              <w:numPr>
                <w:ilvl w:val="0"/>
                <w:numId w:val="2"/>
              </w:numPr>
              <w:wordWrap w:val="0"/>
              <w:topLinePunct/>
              <w:adjustRightInd w:val="0"/>
              <w:snapToGrid w:val="0"/>
              <w:spacing w:line="360" w:lineRule="auto"/>
              <w:ind w:left="0" w:leftChars="0" w:firstLine="0" w:firstLineChars="0"/>
            </w:pPr>
            <w:r>
              <w:rPr>
                <w:rFonts w:hint="eastAsia"/>
              </w:rPr>
              <w:t>项目主要建设内容及规模</w:t>
            </w:r>
          </w:p>
          <w:p>
            <w:pPr>
              <w:wordWrap/>
              <w:autoSpaceDE/>
              <w:autoSpaceDN/>
              <w:ind w:firstLine="480"/>
              <w:jc w:val="both"/>
              <w:outlineLvl w:val="1"/>
            </w:pPr>
            <w:r>
              <w:rPr>
                <w:rFonts w:hint="eastAsia"/>
                <w:lang w:eastAsia="zh-CN"/>
              </w:rPr>
              <w:t>凤凰县住房和城乡建设局（凤凰县人民防空办公室）</w:t>
            </w:r>
            <w:r>
              <w:rPr>
                <w:rFonts w:hint="eastAsia"/>
              </w:rPr>
              <w:t>拟在</w:t>
            </w:r>
            <w:r>
              <w:rPr>
                <w:rFonts w:hint="eastAsia"/>
                <w:lang w:eastAsia="zh-CN"/>
              </w:rPr>
              <w:t>凤凰</w:t>
            </w:r>
            <w:r>
              <w:rPr>
                <w:rFonts w:hint="eastAsia"/>
              </w:rPr>
              <w:t>县</w:t>
            </w:r>
            <w:r>
              <w:rPr>
                <w:rFonts w:hint="eastAsia"/>
                <w:lang w:eastAsia="zh-CN"/>
              </w:rPr>
              <w:t>沱江</w:t>
            </w:r>
            <w:r>
              <w:rPr>
                <w:rFonts w:hint="eastAsia"/>
              </w:rPr>
              <w:t>镇</w:t>
            </w:r>
            <w:r>
              <w:rPr>
                <w:rFonts w:hint="eastAsia"/>
                <w:lang w:eastAsia="zh-CN"/>
              </w:rPr>
              <w:t>高峰村新</w:t>
            </w:r>
            <w:r>
              <w:rPr>
                <w:rFonts w:hint="eastAsia"/>
              </w:rPr>
              <w:t>建一座生活垃圾转运站。项目总占地面积</w:t>
            </w:r>
            <w:r>
              <w:rPr>
                <w:rFonts w:hint="eastAsia"/>
                <w:lang w:val="en-US" w:eastAsia="zh-CN"/>
              </w:rPr>
              <w:t>6322.91</w:t>
            </w:r>
            <w:r>
              <w:rPr>
                <w:rFonts w:hint="eastAsia"/>
              </w:rPr>
              <w:t>平方米，</w:t>
            </w:r>
            <w:r>
              <w:rPr>
                <w:rFonts w:hint="eastAsia"/>
                <w:lang w:eastAsia="zh-CN"/>
              </w:rPr>
              <w:t>主要建设内容有垃圾转运站、业务用房、维修车间、门卫、自动洗车间等公用工程设施，设计垃圾转运量</w:t>
            </w:r>
            <w:r>
              <w:rPr>
                <w:rFonts w:hint="eastAsia"/>
                <w:lang w:val="en-US" w:eastAsia="zh-CN"/>
              </w:rPr>
              <w:t>400t/d</w:t>
            </w:r>
            <w:r>
              <w:rPr>
                <w:rFonts w:hint="eastAsia"/>
              </w:rPr>
              <w:t>。项目总投资</w:t>
            </w:r>
            <w:r>
              <w:rPr>
                <w:rFonts w:hint="eastAsia"/>
                <w:lang w:val="en-US" w:eastAsia="zh-CN"/>
              </w:rPr>
              <w:t>2618.47</w:t>
            </w:r>
            <w:r>
              <w:rPr>
                <w:rFonts w:hint="eastAsia"/>
              </w:rPr>
              <w:t>万元。项目工程内容见下表</w:t>
            </w:r>
            <w:r>
              <w:rPr>
                <w:rFonts w:hint="eastAsia"/>
                <w:lang w:val="en-US"/>
              </w:rPr>
              <w:t>2-1</w:t>
            </w:r>
            <w:r>
              <w:t>：</w:t>
            </w:r>
          </w:p>
          <w:p>
            <w:pPr>
              <w:pStyle w:val="45"/>
              <w:bidi w:val="0"/>
            </w:pPr>
            <w:r>
              <w:t>表</w:t>
            </w:r>
            <w:r>
              <w:rPr>
                <w:rFonts w:hint="eastAsia"/>
                <w:lang w:val="en-US" w:eastAsia="zh-CN"/>
              </w:rPr>
              <w:t>2</w:t>
            </w:r>
            <w:r>
              <w:t>-1 工程内容一览表</w:t>
            </w:r>
          </w:p>
          <w:tbl>
            <w:tblPr>
              <w:tblStyle w:val="31"/>
              <w:tblW w:w="77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2"/>
              <w:gridCol w:w="778"/>
              <w:gridCol w:w="1173"/>
              <w:gridCol w:w="4633"/>
              <w:gridCol w:w="7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5" w:hRule="atLeast"/>
                <w:tblHeader/>
                <w:jc w:val="center"/>
              </w:trPr>
              <w:tc>
                <w:tcPr>
                  <w:tcW w:w="442" w:type="dxa"/>
                  <w:noWrap w:val="0"/>
                  <w:vAlign w:val="center"/>
                </w:tcPr>
                <w:p>
                  <w:pPr>
                    <w:pStyle w:val="38"/>
                    <w:bidi w:val="0"/>
                    <w:rPr>
                      <w:u w:val="single"/>
                    </w:rPr>
                  </w:pPr>
                  <w:r>
                    <w:rPr>
                      <w:u w:val="single"/>
                    </w:rPr>
                    <w:t>序号</w:t>
                  </w:r>
                </w:p>
              </w:tc>
              <w:tc>
                <w:tcPr>
                  <w:tcW w:w="778" w:type="dxa"/>
                  <w:noWrap w:val="0"/>
                  <w:vAlign w:val="center"/>
                </w:tcPr>
                <w:p>
                  <w:pPr>
                    <w:pStyle w:val="38"/>
                    <w:bidi w:val="0"/>
                    <w:rPr>
                      <w:u w:val="single"/>
                    </w:rPr>
                  </w:pPr>
                  <w:r>
                    <w:rPr>
                      <w:u w:val="single"/>
                    </w:rPr>
                    <w:t>项目名称</w:t>
                  </w:r>
                </w:p>
              </w:tc>
              <w:tc>
                <w:tcPr>
                  <w:tcW w:w="1173" w:type="dxa"/>
                  <w:noWrap w:val="0"/>
                  <w:vAlign w:val="center"/>
                </w:tcPr>
                <w:p>
                  <w:pPr>
                    <w:pStyle w:val="38"/>
                    <w:bidi w:val="0"/>
                    <w:rPr>
                      <w:u w:val="single"/>
                    </w:rPr>
                  </w:pPr>
                  <w:r>
                    <w:rPr>
                      <w:u w:val="single"/>
                    </w:rPr>
                    <w:t>项目组成</w:t>
                  </w:r>
                </w:p>
              </w:tc>
              <w:tc>
                <w:tcPr>
                  <w:tcW w:w="4633" w:type="dxa"/>
                  <w:noWrap w:val="0"/>
                  <w:vAlign w:val="center"/>
                </w:tcPr>
                <w:p>
                  <w:pPr>
                    <w:pStyle w:val="38"/>
                    <w:bidi w:val="0"/>
                    <w:rPr>
                      <w:u w:val="single"/>
                    </w:rPr>
                  </w:pPr>
                  <w:r>
                    <w:rPr>
                      <w:u w:val="single"/>
                    </w:rPr>
                    <w:t>主要建设内容</w:t>
                  </w:r>
                </w:p>
              </w:tc>
              <w:tc>
                <w:tcPr>
                  <w:tcW w:w="751" w:type="dxa"/>
                  <w:noWrap w:val="0"/>
                  <w:vAlign w:val="center"/>
                </w:tcPr>
                <w:p>
                  <w:pPr>
                    <w:pStyle w:val="38"/>
                    <w:bidi w:val="0"/>
                    <w:rPr>
                      <w:u w:val="single"/>
                    </w:rPr>
                  </w:pPr>
                  <w:r>
                    <w:rPr>
                      <w:rFonts w:hint="eastAsia"/>
                      <w:u w:val="singl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2" w:type="dxa"/>
                  <w:vMerge w:val="restart"/>
                  <w:noWrap w:val="0"/>
                  <w:vAlign w:val="center"/>
                </w:tcPr>
                <w:p>
                  <w:pPr>
                    <w:pStyle w:val="38"/>
                    <w:bidi w:val="0"/>
                    <w:rPr>
                      <w:u w:val="single"/>
                    </w:rPr>
                  </w:pPr>
                  <w:r>
                    <w:rPr>
                      <w:u w:val="single"/>
                    </w:rPr>
                    <w:t>1</w:t>
                  </w:r>
                </w:p>
              </w:tc>
              <w:tc>
                <w:tcPr>
                  <w:tcW w:w="778" w:type="dxa"/>
                  <w:vMerge w:val="restart"/>
                  <w:noWrap w:val="0"/>
                  <w:vAlign w:val="center"/>
                </w:tcPr>
                <w:p>
                  <w:pPr>
                    <w:pStyle w:val="38"/>
                    <w:bidi w:val="0"/>
                    <w:rPr>
                      <w:rFonts w:hint="eastAsia"/>
                      <w:u w:val="single"/>
                      <w:lang w:eastAsia="zh-CN"/>
                    </w:rPr>
                  </w:pPr>
                  <w:r>
                    <w:rPr>
                      <w:rFonts w:hint="eastAsia"/>
                      <w:u w:val="single"/>
                      <w:lang w:eastAsia="zh-CN"/>
                    </w:rPr>
                    <w:t>凤凰县沱江镇高峰垃圾转运站</w:t>
                  </w:r>
                </w:p>
              </w:tc>
              <w:tc>
                <w:tcPr>
                  <w:tcW w:w="1173" w:type="dxa"/>
                  <w:noWrap w:val="0"/>
                  <w:vAlign w:val="center"/>
                </w:tcPr>
                <w:p>
                  <w:pPr>
                    <w:pStyle w:val="38"/>
                    <w:bidi w:val="0"/>
                    <w:rPr>
                      <w:u w:val="single"/>
                    </w:rPr>
                  </w:pPr>
                  <w:r>
                    <w:rPr>
                      <w:u w:val="single"/>
                    </w:rPr>
                    <w:t>收运系统</w:t>
                  </w:r>
                </w:p>
              </w:tc>
              <w:tc>
                <w:tcPr>
                  <w:tcW w:w="4633" w:type="dxa"/>
                  <w:noWrap w:val="0"/>
                  <w:vAlign w:val="center"/>
                </w:tcPr>
                <w:p>
                  <w:pPr>
                    <w:pStyle w:val="38"/>
                    <w:bidi w:val="0"/>
                    <w:rPr>
                      <w:u w:val="single"/>
                    </w:rPr>
                  </w:pPr>
                  <w:r>
                    <w:rPr>
                      <w:rFonts w:hint="eastAsia"/>
                      <w:u w:val="single"/>
                      <w:lang w:val="en-US" w:eastAsia="zh-CN"/>
                    </w:rPr>
                    <w:t>3</w:t>
                  </w:r>
                  <w:r>
                    <w:rPr>
                      <w:u w:val="single"/>
                    </w:rPr>
                    <w:t>辆垃圾清运车、2辆垃圾勾臂车</w:t>
                  </w:r>
                </w:p>
              </w:tc>
              <w:tc>
                <w:tcPr>
                  <w:tcW w:w="751" w:type="dxa"/>
                  <w:noWrap w:val="0"/>
                  <w:vAlign w:val="center"/>
                </w:tcPr>
                <w:p>
                  <w:pPr>
                    <w:pStyle w:val="38"/>
                    <w:bidi w:val="0"/>
                    <w:rPr>
                      <w:u w:val="single"/>
                    </w:rPr>
                  </w:pPr>
                  <w:r>
                    <w:rPr>
                      <w:rFonts w:hint="eastAsia"/>
                      <w:u w:val="single"/>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80" w:hRule="atLeast"/>
                <w:jc w:val="center"/>
              </w:trPr>
              <w:tc>
                <w:tcPr>
                  <w:tcW w:w="442" w:type="dxa"/>
                  <w:vMerge w:val="continue"/>
                  <w:noWrap w:val="0"/>
                  <w:vAlign w:val="center"/>
                </w:tcPr>
                <w:p>
                  <w:pPr>
                    <w:pStyle w:val="38"/>
                    <w:bidi w:val="0"/>
                    <w:rPr>
                      <w:u w:val="single"/>
                    </w:rPr>
                  </w:pPr>
                </w:p>
              </w:tc>
              <w:tc>
                <w:tcPr>
                  <w:tcW w:w="778" w:type="dxa"/>
                  <w:vMerge w:val="continue"/>
                  <w:noWrap w:val="0"/>
                  <w:vAlign w:val="center"/>
                </w:tcPr>
                <w:p>
                  <w:pPr>
                    <w:pStyle w:val="38"/>
                    <w:bidi w:val="0"/>
                    <w:rPr>
                      <w:u w:val="single"/>
                    </w:rPr>
                  </w:pPr>
                </w:p>
              </w:tc>
              <w:tc>
                <w:tcPr>
                  <w:tcW w:w="1173" w:type="dxa"/>
                  <w:noWrap w:val="0"/>
                  <w:vAlign w:val="center"/>
                </w:tcPr>
                <w:p>
                  <w:pPr>
                    <w:pStyle w:val="38"/>
                    <w:bidi w:val="0"/>
                    <w:rPr>
                      <w:u w:val="single"/>
                    </w:rPr>
                  </w:pPr>
                  <w:r>
                    <w:rPr>
                      <w:u w:val="single"/>
                    </w:rPr>
                    <w:t>主体工程</w:t>
                  </w:r>
                </w:p>
              </w:tc>
              <w:tc>
                <w:tcPr>
                  <w:tcW w:w="4633" w:type="dxa"/>
                  <w:noWrap w:val="0"/>
                  <w:vAlign w:val="center"/>
                </w:tcPr>
                <w:p>
                  <w:pPr>
                    <w:pStyle w:val="38"/>
                    <w:bidi w:val="0"/>
                    <w:rPr>
                      <w:u w:val="single"/>
                    </w:rPr>
                  </w:pPr>
                  <w:r>
                    <w:rPr>
                      <w:rFonts w:hint="eastAsia"/>
                      <w:u w:val="single"/>
                      <w:lang w:eastAsia="zh-CN"/>
                    </w:rPr>
                    <w:t>垃圾转运站</w:t>
                  </w:r>
                  <w:r>
                    <w:rPr>
                      <w:u w:val="single"/>
                    </w:rPr>
                    <w:t>：设置处理能力为</w:t>
                  </w:r>
                  <w:r>
                    <w:rPr>
                      <w:rFonts w:hint="eastAsia"/>
                      <w:u w:val="single"/>
                      <w:lang w:val="en-US" w:eastAsia="zh-CN"/>
                    </w:rPr>
                    <w:t>400</w:t>
                  </w:r>
                  <w:r>
                    <w:rPr>
                      <w:u w:val="single"/>
                    </w:rPr>
                    <w:t>t/d的垃圾转运站1座，占地面积</w:t>
                  </w:r>
                  <w:r>
                    <w:rPr>
                      <w:rFonts w:hint="eastAsia"/>
                      <w:u w:val="single"/>
                      <w:lang w:val="en-US" w:eastAsia="zh-CN"/>
                    </w:rPr>
                    <w:t>1462.08</w:t>
                  </w:r>
                  <w:r>
                    <w:rPr>
                      <w:u w:val="single"/>
                    </w:rPr>
                    <w:t>m</w:t>
                  </w:r>
                  <w:r>
                    <w:rPr>
                      <w:u w:val="single"/>
                      <w:vertAlign w:val="superscript"/>
                    </w:rPr>
                    <w:t>2</w:t>
                  </w:r>
                  <w:r>
                    <w:rPr>
                      <w:rFonts w:hint="eastAsia"/>
                      <w:u w:val="single"/>
                      <w:lang w:eastAsia="zh-CN"/>
                    </w:rPr>
                    <w:t>，建筑</w:t>
                  </w:r>
                  <w:r>
                    <w:rPr>
                      <w:u w:val="single"/>
                    </w:rPr>
                    <w:t>面积</w:t>
                  </w:r>
                  <w:r>
                    <w:rPr>
                      <w:rFonts w:hint="eastAsia"/>
                      <w:u w:val="single"/>
                      <w:lang w:val="en-US" w:eastAsia="zh-CN"/>
                    </w:rPr>
                    <w:t>3326.67</w:t>
                  </w:r>
                  <w:r>
                    <w:rPr>
                      <w:u w:val="single"/>
                    </w:rPr>
                    <w:t>m</w:t>
                  </w:r>
                  <w:r>
                    <w:rPr>
                      <w:u w:val="single"/>
                      <w:vertAlign w:val="superscript"/>
                    </w:rPr>
                    <w:t>2</w:t>
                  </w:r>
                  <w:r>
                    <w:rPr>
                      <w:u w:val="single"/>
                    </w:rPr>
                    <w:t>，</w:t>
                  </w:r>
                  <w:r>
                    <w:rPr>
                      <w:rFonts w:hint="eastAsia"/>
                      <w:u w:val="single"/>
                      <w:lang w:eastAsia="zh-CN"/>
                    </w:rPr>
                    <w:t>站内设置</w:t>
                  </w:r>
                  <w:r>
                    <w:rPr>
                      <w:rFonts w:hint="eastAsia"/>
                      <w:u w:val="single"/>
                      <w:lang w:val="en-US" w:eastAsia="zh-CN"/>
                    </w:rPr>
                    <w:t>2座</w:t>
                  </w:r>
                  <w:r>
                    <w:rPr>
                      <w:rFonts w:hint="eastAsia"/>
                      <w:u w:val="single"/>
                      <w:lang w:eastAsia="zh-CN"/>
                    </w:rPr>
                    <w:t>水平直压式压缩机</w:t>
                  </w:r>
                  <w:r>
                    <w:rPr>
                      <w:rFonts w:hint="eastAsia"/>
                      <w:u w:val="single"/>
                    </w:rPr>
                    <w:t>。</w:t>
                  </w:r>
                </w:p>
              </w:tc>
              <w:tc>
                <w:tcPr>
                  <w:tcW w:w="751" w:type="dxa"/>
                  <w:noWrap w:val="0"/>
                  <w:vAlign w:val="center"/>
                </w:tcPr>
                <w:p>
                  <w:pPr>
                    <w:pStyle w:val="38"/>
                    <w:bidi w:val="0"/>
                    <w:rPr>
                      <w:u w:val="single"/>
                    </w:rPr>
                  </w:pPr>
                  <w:r>
                    <w:rPr>
                      <w:rFonts w:hint="eastAsia"/>
                      <w:u w:val="single"/>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42" w:type="dxa"/>
                  <w:vMerge w:val="continue"/>
                  <w:noWrap w:val="0"/>
                  <w:vAlign w:val="center"/>
                </w:tcPr>
                <w:p>
                  <w:pPr>
                    <w:pStyle w:val="38"/>
                    <w:bidi w:val="0"/>
                    <w:rPr>
                      <w:u w:val="single"/>
                    </w:rPr>
                  </w:pPr>
                </w:p>
              </w:tc>
              <w:tc>
                <w:tcPr>
                  <w:tcW w:w="778" w:type="dxa"/>
                  <w:vMerge w:val="continue"/>
                  <w:noWrap w:val="0"/>
                  <w:vAlign w:val="center"/>
                </w:tcPr>
                <w:p>
                  <w:pPr>
                    <w:pStyle w:val="38"/>
                    <w:bidi w:val="0"/>
                    <w:rPr>
                      <w:u w:val="single"/>
                    </w:rPr>
                  </w:pPr>
                </w:p>
              </w:tc>
              <w:tc>
                <w:tcPr>
                  <w:tcW w:w="1173" w:type="dxa"/>
                  <w:vMerge w:val="restart"/>
                  <w:noWrap w:val="0"/>
                  <w:vAlign w:val="center"/>
                </w:tcPr>
                <w:p>
                  <w:pPr>
                    <w:pStyle w:val="38"/>
                    <w:bidi w:val="0"/>
                    <w:rPr>
                      <w:u w:val="single"/>
                    </w:rPr>
                  </w:pPr>
                  <w:r>
                    <w:rPr>
                      <w:u w:val="single"/>
                    </w:rPr>
                    <w:t>辅助工程</w:t>
                  </w:r>
                </w:p>
              </w:tc>
              <w:tc>
                <w:tcPr>
                  <w:tcW w:w="4633" w:type="dxa"/>
                  <w:noWrap w:val="0"/>
                  <w:vAlign w:val="center"/>
                </w:tcPr>
                <w:p>
                  <w:pPr>
                    <w:pStyle w:val="38"/>
                    <w:bidi w:val="0"/>
                    <w:rPr>
                      <w:u w:val="single"/>
                    </w:rPr>
                  </w:pPr>
                  <w:r>
                    <w:rPr>
                      <w:rFonts w:hint="eastAsia"/>
                      <w:u w:val="single"/>
                      <w:lang w:eastAsia="zh-CN"/>
                    </w:rPr>
                    <w:t>自动洗车间</w:t>
                  </w:r>
                  <w:r>
                    <w:rPr>
                      <w:rFonts w:hint="eastAsia"/>
                      <w:u w:val="single"/>
                    </w:rPr>
                    <w:t>：</w:t>
                  </w:r>
                  <w:r>
                    <w:rPr>
                      <w:rFonts w:hint="eastAsia"/>
                      <w:u w:val="single"/>
                      <w:lang w:eastAsia="zh-CN"/>
                    </w:rPr>
                    <w:t>占地</w:t>
                  </w:r>
                  <w:r>
                    <w:rPr>
                      <w:u w:val="single"/>
                    </w:rPr>
                    <w:t>面积为</w:t>
                  </w:r>
                  <w:r>
                    <w:rPr>
                      <w:rFonts w:hint="eastAsia"/>
                      <w:u w:val="single"/>
                      <w:lang w:val="en-US" w:eastAsia="zh-CN"/>
                    </w:rPr>
                    <w:t>120.6</w:t>
                  </w:r>
                  <w:r>
                    <w:rPr>
                      <w:u w:val="single"/>
                    </w:rPr>
                    <w:t>m</w:t>
                  </w:r>
                  <w:r>
                    <w:rPr>
                      <w:u w:val="single"/>
                      <w:vertAlign w:val="superscript"/>
                    </w:rPr>
                    <w:t>2</w:t>
                  </w:r>
                </w:p>
              </w:tc>
              <w:tc>
                <w:tcPr>
                  <w:tcW w:w="751" w:type="dxa"/>
                  <w:noWrap w:val="0"/>
                  <w:vAlign w:val="center"/>
                </w:tcPr>
                <w:p>
                  <w:pPr>
                    <w:pStyle w:val="38"/>
                    <w:bidi w:val="0"/>
                    <w:rPr>
                      <w:u w:val="single"/>
                    </w:rPr>
                  </w:pPr>
                  <w:r>
                    <w:rPr>
                      <w:rFonts w:hint="eastAsia"/>
                      <w:u w:val="single"/>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42" w:type="dxa"/>
                  <w:vMerge w:val="continue"/>
                  <w:noWrap w:val="0"/>
                  <w:vAlign w:val="center"/>
                </w:tcPr>
                <w:p>
                  <w:pPr>
                    <w:pStyle w:val="38"/>
                    <w:bidi w:val="0"/>
                    <w:rPr>
                      <w:u w:val="single"/>
                    </w:rPr>
                  </w:pPr>
                </w:p>
              </w:tc>
              <w:tc>
                <w:tcPr>
                  <w:tcW w:w="778" w:type="dxa"/>
                  <w:vMerge w:val="continue"/>
                  <w:noWrap w:val="0"/>
                  <w:vAlign w:val="center"/>
                </w:tcPr>
                <w:p>
                  <w:pPr>
                    <w:pStyle w:val="38"/>
                    <w:bidi w:val="0"/>
                    <w:rPr>
                      <w:u w:val="single"/>
                    </w:rPr>
                  </w:pPr>
                </w:p>
              </w:tc>
              <w:tc>
                <w:tcPr>
                  <w:tcW w:w="1173" w:type="dxa"/>
                  <w:vMerge w:val="continue"/>
                  <w:noWrap w:val="0"/>
                  <w:vAlign w:val="center"/>
                </w:tcPr>
                <w:p>
                  <w:pPr>
                    <w:pStyle w:val="38"/>
                    <w:bidi w:val="0"/>
                    <w:rPr>
                      <w:u w:val="single"/>
                    </w:rPr>
                  </w:pPr>
                </w:p>
              </w:tc>
              <w:tc>
                <w:tcPr>
                  <w:tcW w:w="4633" w:type="dxa"/>
                  <w:noWrap w:val="0"/>
                  <w:vAlign w:val="center"/>
                </w:tcPr>
                <w:p>
                  <w:pPr>
                    <w:pStyle w:val="38"/>
                    <w:bidi w:val="0"/>
                    <w:rPr>
                      <w:rFonts w:hint="default"/>
                      <w:u w:val="single"/>
                      <w:lang w:val="en-US" w:eastAsia="zh-CN"/>
                    </w:rPr>
                  </w:pPr>
                  <w:r>
                    <w:rPr>
                      <w:rFonts w:hint="eastAsia"/>
                      <w:u w:val="single"/>
                      <w:lang w:eastAsia="zh-CN"/>
                    </w:rPr>
                    <w:t>业务用房</w:t>
                  </w:r>
                  <w:r>
                    <w:rPr>
                      <w:rFonts w:hint="eastAsia"/>
                      <w:u w:val="single"/>
                    </w:rPr>
                    <w:t>：</w:t>
                  </w:r>
                  <w:r>
                    <w:rPr>
                      <w:rFonts w:hint="eastAsia"/>
                      <w:u w:val="single"/>
                      <w:lang w:eastAsia="zh-CN"/>
                    </w:rPr>
                    <w:t>主要用于员工办公，</w:t>
                  </w:r>
                  <w:r>
                    <w:rPr>
                      <w:rFonts w:hint="eastAsia"/>
                      <w:u w:val="single"/>
                      <w:lang w:val="en-US" w:eastAsia="zh-CN"/>
                    </w:rPr>
                    <w:t>2F，</w:t>
                  </w:r>
                  <w:r>
                    <w:rPr>
                      <w:rFonts w:hint="eastAsia"/>
                      <w:u w:val="single"/>
                      <w:lang w:eastAsia="zh-CN"/>
                    </w:rPr>
                    <w:t>占地</w:t>
                  </w:r>
                  <w:r>
                    <w:rPr>
                      <w:u w:val="single"/>
                    </w:rPr>
                    <w:t>面积为</w:t>
                  </w:r>
                  <w:r>
                    <w:rPr>
                      <w:rFonts w:hint="eastAsia"/>
                      <w:u w:val="single"/>
                      <w:lang w:val="en-US" w:eastAsia="zh-CN"/>
                    </w:rPr>
                    <w:t>245.18</w:t>
                  </w:r>
                  <w:r>
                    <w:rPr>
                      <w:u w:val="single"/>
                    </w:rPr>
                    <w:t>m</w:t>
                  </w:r>
                  <w:r>
                    <w:rPr>
                      <w:u w:val="single"/>
                      <w:vertAlign w:val="superscript"/>
                    </w:rPr>
                    <w:t>2</w:t>
                  </w:r>
                  <w:r>
                    <w:rPr>
                      <w:rFonts w:hint="eastAsia"/>
                      <w:u w:val="single"/>
                      <w:lang w:eastAsia="zh-CN"/>
                    </w:rPr>
                    <w:t>，建筑面积</w:t>
                  </w:r>
                  <w:r>
                    <w:rPr>
                      <w:rFonts w:hint="eastAsia"/>
                      <w:u w:val="single"/>
                      <w:lang w:val="en-US" w:eastAsia="zh-CN"/>
                    </w:rPr>
                    <w:t>782</w:t>
                  </w:r>
                  <w:r>
                    <w:rPr>
                      <w:u w:val="single"/>
                    </w:rPr>
                    <w:t>m</w:t>
                  </w:r>
                  <w:r>
                    <w:rPr>
                      <w:u w:val="single"/>
                      <w:vertAlign w:val="superscript"/>
                    </w:rPr>
                    <w:t>2</w:t>
                  </w:r>
                </w:p>
              </w:tc>
              <w:tc>
                <w:tcPr>
                  <w:tcW w:w="751" w:type="dxa"/>
                  <w:noWrap w:val="0"/>
                  <w:vAlign w:val="center"/>
                </w:tcPr>
                <w:p>
                  <w:pPr>
                    <w:pStyle w:val="38"/>
                    <w:bidi w:val="0"/>
                    <w:rPr>
                      <w:rFonts w:hint="eastAsia"/>
                      <w:u w:val="single"/>
                      <w:lang w:eastAsia="zh-CN"/>
                    </w:rPr>
                  </w:pPr>
                  <w:r>
                    <w:rPr>
                      <w:rFonts w:hint="eastAsia"/>
                      <w:u w:val="single"/>
                      <w:lang w:eastAsia="zh-CN"/>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7" w:hRule="atLeast"/>
                <w:jc w:val="center"/>
              </w:trPr>
              <w:tc>
                <w:tcPr>
                  <w:tcW w:w="442" w:type="dxa"/>
                  <w:vMerge w:val="continue"/>
                  <w:noWrap w:val="0"/>
                  <w:vAlign w:val="center"/>
                </w:tcPr>
                <w:p>
                  <w:pPr>
                    <w:pStyle w:val="38"/>
                    <w:bidi w:val="0"/>
                    <w:rPr>
                      <w:u w:val="single"/>
                    </w:rPr>
                  </w:pPr>
                </w:p>
              </w:tc>
              <w:tc>
                <w:tcPr>
                  <w:tcW w:w="778" w:type="dxa"/>
                  <w:vMerge w:val="continue"/>
                  <w:noWrap w:val="0"/>
                  <w:vAlign w:val="center"/>
                </w:tcPr>
                <w:p>
                  <w:pPr>
                    <w:pStyle w:val="38"/>
                    <w:bidi w:val="0"/>
                    <w:rPr>
                      <w:u w:val="single"/>
                    </w:rPr>
                  </w:pPr>
                </w:p>
              </w:tc>
              <w:tc>
                <w:tcPr>
                  <w:tcW w:w="1173" w:type="dxa"/>
                  <w:vMerge w:val="continue"/>
                  <w:noWrap w:val="0"/>
                  <w:vAlign w:val="center"/>
                </w:tcPr>
                <w:p>
                  <w:pPr>
                    <w:pStyle w:val="38"/>
                    <w:bidi w:val="0"/>
                    <w:rPr>
                      <w:u w:val="single"/>
                    </w:rPr>
                  </w:pPr>
                </w:p>
              </w:tc>
              <w:tc>
                <w:tcPr>
                  <w:tcW w:w="4633" w:type="dxa"/>
                  <w:noWrap w:val="0"/>
                  <w:vAlign w:val="center"/>
                </w:tcPr>
                <w:p>
                  <w:pPr>
                    <w:pStyle w:val="38"/>
                    <w:bidi w:val="0"/>
                    <w:rPr>
                      <w:rFonts w:hint="eastAsia"/>
                      <w:u w:val="single"/>
                      <w:lang w:eastAsia="zh-CN"/>
                    </w:rPr>
                  </w:pPr>
                  <w:r>
                    <w:rPr>
                      <w:rFonts w:hint="eastAsia"/>
                      <w:u w:val="single"/>
                      <w:lang w:eastAsia="zh-CN"/>
                    </w:rPr>
                    <w:t>维修车间：</w:t>
                  </w:r>
                  <w:r>
                    <w:rPr>
                      <w:rFonts w:hint="eastAsia"/>
                      <w:u w:val="single"/>
                      <w:lang w:val="en-US" w:eastAsia="zh-CN"/>
                    </w:rPr>
                    <w:t>1F</w:t>
                  </w:r>
                  <w:r>
                    <w:rPr>
                      <w:rFonts w:hint="eastAsia"/>
                      <w:u w:val="single"/>
                      <w:lang w:eastAsia="zh-CN"/>
                    </w:rPr>
                    <w:t>占地</w:t>
                  </w:r>
                  <w:r>
                    <w:rPr>
                      <w:u w:val="single"/>
                    </w:rPr>
                    <w:t>面积为</w:t>
                  </w:r>
                  <w:r>
                    <w:rPr>
                      <w:rFonts w:hint="eastAsia"/>
                      <w:u w:val="single"/>
                      <w:lang w:val="en-US" w:eastAsia="zh-CN"/>
                    </w:rPr>
                    <w:t>84</w:t>
                  </w:r>
                  <w:r>
                    <w:rPr>
                      <w:u w:val="single"/>
                    </w:rPr>
                    <w:t>m</w:t>
                  </w:r>
                  <w:r>
                    <w:rPr>
                      <w:u w:val="single"/>
                      <w:vertAlign w:val="superscript"/>
                    </w:rPr>
                    <w:t>2</w:t>
                  </w:r>
                </w:p>
              </w:tc>
              <w:tc>
                <w:tcPr>
                  <w:tcW w:w="751" w:type="dxa"/>
                  <w:noWrap w:val="0"/>
                  <w:vAlign w:val="center"/>
                </w:tcPr>
                <w:p>
                  <w:pPr>
                    <w:pStyle w:val="38"/>
                    <w:bidi w:val="0"/>
                    <w:rPr>
                      <w:rFonts w:hint="eastAsia"/>
                      <w:u w:val="single"/>
                    </w:rPr>
                  </w:pPr>
                  <w:r>
                    <w:rPr>
                      <w:rFonts w:hint="eastAsia"/>
                      <w:u w:val="single"/>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42" w:type="dxa"/>
                  <w:vMerge w:val="continue"/>
                  <w:noWrap w:val="0"/>
                  <w:vAlign w:val="center"/>
                </w:tcPr>
                <w:p>
                  <w:pPr>
                    <w:pStyle w:val="38"/>
                    <w:bidi w:val="0"/>
                    <w:rPr>
                      <w:u w:val="single"/>
                    </w:rPr>
                  </w:pPr>
                </w:p>
              </w:tc>
              <w:tc>
                <w:tcPr>
                  <w:tcW w:w="778" w:type="dxa"/>
                  <w:vMerge w:val="continue"/>
                  <w:noWrap w:val="0"/>
                  <w:vAlign w:val="center"/>
                </w:tcPr>
                <w:p>
                  <w:pPr>
                    <w:pStyle w:val="38"/>
                    <w:bidi w:val="0"/>
                    <w:rPr>
                      <w:u w:val="single"/>
                    </w:rPr>
                  </w:pPr>
                </w:p>
              </w:tc>
              <w:tc>
                <w:tcPr>
                  <w:tcW w:w="1173" w:type="dxa"/>
                  <w:vMerge w:val="continue"/>
                  <w:noWrap w:val="0"/>
                  <w:vAlign w:val="center"/>
                </w:tcPr>
                <w:p>
                  <w:pPr>
                    <w:pStyle w:val="38"/>
                    <w:bidi w:val="0"/>
                    <w:rPr>
                      <w:u w:val="single"/>
                    </w:rPr>
                  </w:pPr>
                </w:p>
              </w:tc>
              <w:tc>
                <w:tcPr>
                  <w:tcW w:w="4633" w:type="dxa"/>
                  <w:noWrap w:val="0"/>
                  <w:vAlign w:val="center"/>
                </w:tcPr>
                <w:p>
                  <w:pPr>
                    <w:pStyle w:val="38"/>
                    <w:bidi w:val="0"/>
                    <w:rPr>
                      <w:rFonts w:hint="eastAsia"/>
                      <w:u w:val="single"/>
                      <w:lang w:eastAsia="zh-CN"/>
                    </w:rPr>
                  </w:pPr>
                  <w:r>
                    <w:rPr>
                      <w:rFonts w:hint="eastAsia"/>
                      <w:u w:val="single"/>
                      <w:lang w:eastAsia="zh-CN"/>
                    </w:rPr>
                    <w:t>门卫：用于日常管控进出车辆人员</w:t>
                  </w:r>
                </w:p>
              </w:tc>
              <w:tc>
                <w:tcPr>
                  <w:tcW w:w="751" w:type="dxa"/>
                  <w:noWrap w:val="0"/>
                  <w:vAlign w:val="center"/>
                </w:tcPr>
                <w:p>
                  <w:pPr>
                    <w:pStyle w:val="38"/>
                    <w:bidi w:val="0"/>
                    <w:rPr>
                      <w:rFonts w:hint="eastAsia"/>
                      <w:u w:val="single"/>
                    </w:rPr>
                  </w:pPr>
                  <w:r>
                    <w:rPr>
                      <w:rFonts w:hint="eastAsia"/>
                      <w:u w:val="single"/>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2" w:type="dxa"/>
                  <w:vMerge w:val="continue"/>
                  <w:noWrap w:val="0"/>
                  <w:vAlign w:val="center"/>
                </w:tcPr>
                <w:p>
                  <w:pPr>
                    <w:pStyle w:val="38"/>
                    <w:bidi w:val="0"/>
                    <w:rPr>
                      <w:u w:val="single"/>
                    </w:rPr>
                  </w:pPr>
                </w:p>
              </w:tc>
              <w:tc>
                <w:tcPr>
                  <w:tcW w:w="778" w:type="dxa"/>
                  <w:vMerge w:val="continue"/>
                  <w:noWrap w:val="0"/>
                  <w:vAlign w:val="center"/>
                </w:tcPr>
                <w:p>
                  <w:pPr>
                    <w:pStyle w:val="38"/>
                    <w:bidi w:val="0"/>
                    <w:rPr>
                      <w:u w:val="single"/>
                    </w:rPr>
                  </w:pPr>
                </w:p>
              </w:tc>
              <w:tc>
                <w:tcPr>
                  <w:tcW w:w="1173" w:type="dxa"/>
                  <w:vMerge w:val="continue"/>
                  <w:noWrap w:val="0"/>
                  <w:vAlign w:val="center"/>
                </w:tcPr>
                <w:p>
                  <w:pPr>
                    <w:pStyle w:val="38"/>
                    <w:bidi w:val="0"/>
                    <w:rPr>
                      <w:u w:val="single"/>
                    </w:rPr>
                  </w:pPr>
                </w:p>
              </w:tc>
              <w:tc>
                <w:tcPr>
                  <w:tcW w:w="4633" w:type="dxa"/>
                  <w:noWrap w:val="0"/>
                  <w:vAlign w:val="center"/>
                </w:tcPr>
                <w:p>
                  <w:pPr>
                    <w:pStyle w:val="38"/>
                    <w:bidi w:val="0"/>
                    <w:rPr>
                      <w:rFonts w:hint="eastAsia"/>
                      <w:u w:val="single"/>
                      <w:lang w:eastAsia="zh-CN"/>
                    </w:rPr>
                  </w:pPr>
                  <w:r>
                    <w:rPr>
                      <w:rFonts w:hint="eastAsia"/>
                      <w:u w:val="single"/>
                    </w:rPr>
                    <w:t>车库：</w:t>
                  </w:r>
                  <w:r>
                    <w:rPr>
                      <w:u w:val="single"/>
                    </w:rPr>
                    <w:t>面积为</w:t>
                  </w:r>
                  <w:r>
                    <w:rPr>
                      <w:rFonts w:hint="eastAsia"/>
                      <w:u w:val="single"/>
                      <w:lang w:val="en-US" w:eastAsia="zh-CN"/>
                    </w:rPr>
                    <w:t>310.5</w:t>
                  </w:r>
                  <w:r>
                    <w:rPr>
                      <w:u w:val="single"/>
                    </w:rPr>
                    <w:t>m</w:t>
                  </w:r>
                  <w:r>
                    <w:rPr>
                      <w:u w:val="single"/>
                      <w:vertAlign w:val="superscript"/>
                    </w:rPr>
                    <w:t>2</w:t>
                  </w:r>
                </w:p>
              </w:tc>
              <w:tc>
                <w:tcPr>
                  <w:tcW w:w="751" w:type="dxa"/>
                  <w:noWrap w:val="0"/>
                  <w:vAlign w:val="center"/>
                </w:tcPr>
                <w:p>
                  <w:pPr>
                    <w:pStyle w:val="38"/>
                    <w:bidi w:val="0"/>
                    <w:rPr>
                      <w:rFonts w:hint="eastAsia"/>
                      <w:u w:val="single"/>
                      <w:lang w:eastAsia="zh-CN"/>
                    </w:rPr>
                  </w:pPr>
                  <w:r>
                    <w:rPr>
                      <w:rFonts w:hint="eastAsia"/>
                      <w:u w:val="single"/>
                      <w:lang w:eastAsia="zh-CN"/>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7" w:hRule="atLeast"/>
                <w:jc w:val="center"/>
              </w:trPr>
              <w:tc>
                <w:tcPr>
                  <w:tcW w:w="442" w:type="dxa"/>
                  <w:vMerge w:val="continue"/>
                  <w:noWrap w:val="0"/>
                  <w:vAlign w:val="center"/>
                </w:tcPr>
                <w:p>
                  <w:pPr>
                    <w:pStyle w:val="38"/>
                    <w:bidi w:val="0"/>
                    <w:rPr>
                      <w:u w:val="single"/>
                    </w:rPr>
                  </w:pPr>
                </w:p>
              </w:tc>
              <w:tc>
                <w:tcPr>
                  <w:tcW w:w="778" w:type="dxa"/>
                  <w:vMerge w:val="continue"/>
                  <w:noWrap w:val="0"/>
                  <w:vAlign w:val="center"/>
                </w:tcPr>
                <w:p>
                  <w:pPr>
                    <w:pStyle w:val="38"/>
                    <w:bidi w:val="0"/>
                    <w:rPr>
                      <w:u w:val="single"/>
                    </w:rPr>
                  </w:pPr>
                </w:p>
              </w:tc>
              <w:tc>
                <w:tcPr>
                  <w:tcW w:w="1173" w:type="dxa"/>
                  <w:vMerge w:val="restart"/>
                  <w:noWrap w:val="0"/>
                  <w:vAlign w:val="center"/>
                </w:tcPr>
                <w:p>
                  <w:pPr>
                    <w:pStyle w:val="38"/>
                    <w:bidi w:val="0"/>
                    <w:rPr>
                      <w:u w:val="single"/>
                    </w:rPr>
                  </w:pPr>
                  <w:r>
                    <w:rPr>
                      <w:u w:val="single"/>
                    </w:rPr>
                    <w:t>公用工程</w:t>
                  </w:r>
                </w:p>
              </w:tc>
              <w:tc>
                <w:tcPr>
                  <w:tcW w:w="4633" w:type="dxa"/>
                  <w:noWrap w:val="0"/>
                  <w:vAlign w:val="center"/>
                </w:tcPr>
                <w:p>
                  <w:pPr>
                    <w:pStyle w:val="38"/>
                    <w:bidi w:val="0"/>
                    <w:rPr>
                      <w:u w:val="single"/>
                    </w:rPr>
                  </w:pPr>
                  <w:r>
                    <w:rPr>
                      <w:rFonts w:hint="eastAsia"/>
                      <w:u w:val="single"/>
                    </w:rPr>
                    <w:t>供水：</w:t>
                  </w:r>
                  <w:r>
                    <w:rPr>
                      <w:rFonts w:hint="eastAsia"/>
                      <w:u w:val="single"/>
                      <w:lang w:eastAsia="zh-CN"/>
                    </w:rPr>
                    <w:t>市政供水</w:t>
                  </w:r>
                </w:p>
              </w:tc>
              <w:tc>
                <w:tcPr>
                  <w:tcW w:w="751" w:type="dxa"/>
                  <w:noWrap w:val="0"/>
                  <w:vAlign w:val="center"/>
                </w:tcPr>
                <w:p>
                  <w:pPr>
                    <w:pStyle w:val="38"/>
                    <w:bidi w:val="0"/>
                    <w:rPr>
                      <w:u w:val="single"/>
                    </w:rPr>
                  </w:pPr>
                  <w:r>
                    <w:rPr>
                      <w:rFonts w:hint="eastAsia"/>
                      <w:u w:val="single"/>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2" w:type="dxa"/>
                  <w:vMerge w:val="continue"/>
                  <w:noWrap w:val="0"/>
                  <w:vAlign w:val="center"/>
                </w:tcPr>
                <w:p>
                  <w:pPr>
                    <w:pStyle w:val="38"/>
                    <w:bidi w:val="0"/>
                    <w:rPr>
                      <w:u w:val="single"/>
                    </w:rPr>
                  </w:pPr>
                </w:p>
              </w:tc>
              <w:tc>
                <w:tcPr>
                  <w:tcW w:w="778" w:type="dxa"/>
                  <w:vMerge w:val="continue"/>
                  <w:noWrap w:val="0"/>
                  <w:vAlign w:val="center"/>
                </w:tcPr>
                <w:p>
                  <w:pPr>
                    <w:pStyle w:val="38"/>
                    <w:bidi w:val="0"/>
                    <w:rPr>
                      <w:u w:val="single"/>
                    </w:rPr>
                  </w:pPr>
                </w:p>
              </w:tc>
              <w:tc>
                <w:tcPr>
                  <w:tcW w:w="1173" w:type="dxa"/>
                  <w:vMerge w:val="continue"/>
                  <w:noWrap w:val="0"/>
                  <w:vAlign w:val="center"/>
                </w:tcPr>
                <w:p>
                  <w:pPr>
                    <w:pStyle w:val="38"/>
                    <w:bidi w:val="0"/>
                    <w:rPr>
                      <w:u w:val="single"/>
                    </w:rPr>
                  </w:pPr>
                </w:p>
              </w:tc>
              <w:tc>
                <w:tcPr>
                  <w:tcW w:w="4633" w:type="dxa"/>
                  <w:noWrap w:val="0"/>
                  <w:vAlign w:val="center"/>
                </w:tcPr>
                <w:p>
                  <w:pPr>
                    <w:pStyle w:val="38"/>
                    <w:bidi w:val="0"/>
                    <w:rPr>
                      <w:u w:val="single"/>
                    </w:rPr>
                  </w:pPr>
                  <w:r>
                    <w:rPr>
                      <w:rFonts w:hint="eastAsia"/>
                      <w:u w:val="single"/>
                    </w:rPr>
                    <w:t>供电：区域电网</w:t>
                  </w:r>
                </w:p>
              </w:tc>
              <w:tc>
                <w:tcPr>
                  <w:tcW w:w="751" w:type="dxa"/>
                  <w:noWrap w:val="0"/>
                  <w:vAlign w:val="center"/>
                </w:tcPr>
                <w:p>
                  <w:pPr>
                    <w:pStyle w:val="38"/>
                    <w:bidi w:val="0"/>
                    <w:rPr>
                      <w:u w:val="single"/>
                    </w:rPr>
                  </w:pPr>
                  <w:r>
                    <w:rPr>
                      <w:rFonts w:hint="eastAsia"/>
                      <w:u w:val="single"/>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42" w:type="dxa"/>
                  <w:vMerge w:val="continue"/>
                  <w:noWrap w:val="0"/>
                  <w:vAlign w:val="center"/>
                </w:tcPr>
                <w:p>
                  <w:pPr>
                    <w:pStyle w:val="38"/>
                    <w:bidi w:val="0"/>
                    <w:rPr>
                      <w:u w:val="single"/>
                    </w:rPr>
                  </w:pPr>
                </w:p>
              </w:tc>
              <w:tc>
                <w:tcPr>
                  <w:tcW w:w="778" w:type="dxa"/>
                  <w:vMerge w:val="continue"/>
                  <w:noWrap w:val="0"/>
                  <w:vAlign w:val="center"/>
                </w:tcPr>
                <w:p>
                  <w:pPr>
                    <w:pStyle w:val="38"/>
                    <w:bidi w:val="0"/>
                    <w:rPr>
                      <w:u w:val="single"/>
                    </w:rPr>
                  </w:pPr>
                </w:p>
              </w:tc>
              <w:tc>
                <w:tcPr>
                  <w:tcW w:w="1173" w:type="dxa"/>
                  <w:vMerge w:val="restart"/>
                  <w:noWrap w:val="0"/>
                  <w:vAlign w:val="center"/>
                </w:tcPr>
                <w:p>
                  <w:pPr>
                    <w:pStyle w:val="38"/>
                    <w:bidi w:val="0"/>
                    <w:rPr>
                      <w:u w:val="single"/>
                    </w:rPr>
                  </w:pPr>
                  <w:r>
                    <w:rPr>
                      <w:u w:val="single"/>
                    </w:rPr>
                    <w:t>环保工程</w:t>
                  </w:r>
                </w:p>
              </w:tc>
              <w:tc>
                <w:tcPr>
                  <w:tcW w:w="4633" w:type="dxa"/>
                  <w:noWrap w:val="0"/>
                  <w:vAlign w:val="center"/>
                </w:tcPr>
                <w:p>
                  <w:pPr>
                    <w:pStyle w:val="38"/>
                    <w:bidi w:val="0"/>
                    <w:rPr>
                      <w:u w:val="single"/>
                    </w:rPr>
                  </w:pPr>
                  <w:r>
                    <w:rPr>
                      <w:rFonts w:hint="eastAsia"/>
                      <w:u w:val="single"/>
                    </w:rPr>
                    <w:t>废气：臭气采用</w:t>
                  </w:r>
                  <w:r>
                    <w:rPr>
                      <w:rFonts w:hint="eastAsia"/>
                      <w:u w:val="single"/>
                      <w:lang w:eastAsia="zh-CN"/>
                    </w:rPr>
                    <w:t>高效生物吸附塔</w:t>
                  </w:r>
                  <w:r>
                    <w:rPr>
                      <w:rFonts w:hint="eastAsia"/>
                      <w:u w:val="single"/>
                    </w:rPr>
                    <w:t>+15m排气筒</w:t>
                  </w:r>
                  <w:r>
                    <w:rPr>
                      <w:rFonts w:hint="eastAsia"/>
                      <w:u w:val="single"/>
                      <w:lang w:eastAsia="zh-CN"/>
                    </w:rPr>
                    <w:t>及空间异味喷淋除臭系统，</w:t>
                  </w:r>
                  <w:r>
                    <w:rPr>
                      <w:rFonts w:hint="eastAsia"/>
                      <w:u w:val="single"/>
                    </w:rPr>
                    <w:t>；无组织废气通过加强绿化、洒水等措施</w:t>
                  </w:r>
                </w:p>
              </w:tc>
              <w:tc>
                <w:tcPr>
                  <w:tcW w:w="751" w:type="dxa"/>
                  <w:noWrap w:val="0"/>
                  <w:vAlign w:val="center"/>
                </w:tcPr>
                <w:p>
                  <w:pPr>
                    <w:pStyle w:val="38"/>
                    <w:bidi w:val="0"/>
                    <w:rPr>
                      <w:u w:val="single"/>
                    </w:rPr>
                  </w:pPr>
                  <w:r>
                    <w:rPr>
                      <w:rFonts w:hint="eastAsia"/>
                      <w:u w:val="single"/>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78" w:hRule="atLeast"/>
                <w:jc w:val="center"/>
              </w:trPr>
              <w:tc>
                <w:tcPr>
                  <w:tcW w:w="442" w:type="dxa"/>
                  <w:vMerge w:val="continue"/>
                  <w:noWrap w:val="0"/>
                  <w:vAlign w:val="center"/>
                </w:tcPr>
                <w:p>
                  <w:pPr>
                    <w:pStyle w:val="38"/>
                    <w:bidi w:val="0"/>
                    <w:rPr>
                      <w:u w:val="single"/>
                    </w:rPr>
                  </w:pPr>
                </w:p>
              </w:tc>
              <w:tc>
                <w:tcPr>
                  <w:tcW w:w="778" w:type="dxa"/>
                  <w:vMerge w:val="continue"/>
                  <w:noWrap w:val="0"/>
                  <w:vAlign w:val="center"/>
                </w:tcPr>
                <w:p>
                  <w:pPr>
                    <w:pStyle w:val="38"/>
                    <w:bidi w:val="0"/>
                    <w:rPr>
                      <w:u w:val="single"/>
                    </w:rPr>
                  </w:pPr>
                </w:p>
              </w:tc>
              <w:tc>
                <w:tcPr>
                  <w:tcW w:w="1173" w:type="dxa"/>
                  <w:vMerge w:val="continue"/>
                  <w:noWrap w:val="0"/>
                  <w:vAlign w:val="center"/>
                </w:tcPr>
                <w:p>
                  <w:pPr>
                    <w:pStyle w:val="38"/>
                    <w:bidi w:val="0"/>
                    <w:rPr>
                      <w:u w:val="single"/>
                    </w:rPr>
                  </w:pPr>
                </w:p>
              </w:tc>
              <w:tc>
                <w:tcPr>
                  <w:tcW w:w="4633" w:type="dxa"/>
                  <w:noWrap w:val="0"/>
                  <w:vAlign w:val="center"/>
                </w:tcPr>
                <w:p>
                  <w:pPr>
                    <w:pStyle w:val="38"/>
                    <w:bidi w:val="0"/>
                    <w:rPr>
                      <w:u w:val="single"/>
                    </w:rPr>
                  </w:pPr>
                  <w:r>
                    <w:rPr>
                      <w:rFonts w:hint="eastAsia"/>
                      <w:u w:val="single"/>
                    </w:rPr>
                    <w:t>生活废水经化粪池收集处理</w:t>
                  </w:r>
                  <w:r>
                    <w:rPr>
                      <w:rFonts w:hint="eastAsia"/>
                      <w:u w:val="single"/>
                      <w:lang w:eastAsia="zh-CN"/>
                    </w:rPr>
                    <w:t>后外运做农肥</w:t>
                  </w:r>
                  <w:r>
                    <w:rPr>
                      <w:rFonts w:hint="eastAsia"/>
                      <w:u w:val="single"/>
                    </w:rPr>
                    <w:t>；垃圾渗滤液通过</w:t>
                  </w:r>
                  <w:r>
                    <w:rPr>
                      <w:rFonts w:hint="eastAsia"/>
                      <w:u w:val="single"/>
                      <w:lang w:eastAsia="zh-CN"/>
                    </w:rPr>
                    <w:t>渗滤液真空收集系统</w:t>
                  </w:r>
                  <w:r>
                    <w:rPr>
                      <w:rFonts w:hint="eastAsia"/>
                      <w:u w:val="single"/>
                    </w:rPr>
                    <w:t>输送到垃圾渗滤液收集池，压缩设备冲洗废水以及地面冲洗水分别经周边水槽汇集，再通过管道进入到密闭的垃圾渗滤液收集池中，</w:t>
                  </w:r>
                  <w:r>
                    <w:rPr>
                      <w:rFonts w:hint="eastAsia"/>
                      <w:u w:val="single"/>
                      <w:lang w:eastAsia="zh-CN"/>
                    </w:rPr>
                    <w:t>渗滤液收集池废水由管道运输至凤凰县垃圾填埋场渗滤液处理系统，</w:t>
                  </w:r>
                </w:p>
              </w:tc>
              <w:tc>
                <w:tcPr>
                  <w:tcW w:w="751" w:type="dxa"/>
                  <w:noWrap w:val="0"/>
                  <w:vAlign w:val="center"/>
                </w:tcPr>
                <w:p>
                  <w:pPr>
                    <w:pStyle w:val="38"/>
                    <w:bidi w:val="0"/>
                    <w:rPr>
                      <w:u w:val="single"/>
                    </w:rPr>
                  </w:pPr>
                  <w:r>
                    <w:rPr>
                      <w:rFonts w:hint="eastAsia"/>
                      <w:u w:val="single"/>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42" w:type="dxa"/>
                  <w:vMerge w:val="continue"/>
                  <w:noWrap w:val="0"/>
                  <w:vAlign w:val="center"/>
                </w:tcPr>
                <w:p>
                  <w:pPr>
                    <w:pStyle w:val="38"/>
                    <w:bidi w:val="0"/>
                    <w:rPr>
                      <w:u w:val="single"/>
                    </w:rPr>
                  </w:pPr>
                </w:p>
              </w:tc>
              <w:tc>
                <w:tcPr>
                  <w:tcW w:w="778" w:type="dxa"/>
                  <w:vMerge w:val="continue"/>
                  <w:noWrap w:val="0"/>
                  <w:vAlign w:val="center"/>
                </w:tcPr>
                <w:p>
                  <w:pPr>
                    <w:pStyle w:val="38"/>
                    <w:bidi w:val="0"/>
                    <w:rPr>
                      <w:u w:val="single"/>
                    </w:rPr>
                  </w:pPr>
                </w:p>
              </w:tc>
              <w:tc>
                <w:tcPr>
                  <w:tcW w:w="1173" w:type="dxa"/>
                  <w:vMerge w:val="continue"/>
                  <w:noWrap w:val="0"/>
                  <w:vAlign w:val="center"/>
                </w:tcPr>
                <w:p>
                  <w:pPr>
                    <w:pStyle w:val="38"/>
                    <w:bidi w:val="0"/>
                    <w:rPr>
                      <w:u w:val="single"/>
                    </w:rPr>
                  </w:pPr>
                </w:p>
              </w:tc>
              <w:tc>
                <w:tcPr>
                  <w:tcW w:w="4633" w:type="dxa"/>
                  <w:noWrap w:val="0"/>
                  <w:vAlign w:val="center"/>
                </w:tcPr>
                <w:p>
                  <w:pPr>
                    <w:pStyle w:val="38"/>
                    <w:bidi w:val="0"/>
                    <w:rPr>
                      <w:u w:val="single"/>
                    </w:rPr>
                  </w:pPr>
                  <w:r>
                    <w:rPr>
                      <w:rFonts w:hint="eastAsia"/>
                      <w:u w:val="single"/>
                    </w:rPr>
                    <w:t>噪声：厂房隔声、设备基础减震</w:t>
                  </w:r>
                </w:p>
              </w:tc>
              <w:tc>
                <w:tcPr>
                  <w:tcW w:w="751" w:type="dxa"/>
                  <w:noWrap w:val="0"/>
                  <w:vAlign w:val="center"/>
                </w:tcPr>
                <w:p>
                  <w:pPr>
                    <w:pStyle w:val="38"/>
                    <w:bidi w:val="0"/>
                    <w:rPr>
                      <w:u w:val="single"/>
                    </w:rPr>
                  </w:pPr>
                  <w:r>
                    <w:rPr>
                      <w:rFonts w:hint="eastAsia"/>
                      <w:u w:val="single"/>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42" w:type="dxa"/>
                  <w:vMerge w:val="continue"/>
                  <w:noWrap w:val="0"/>
                  <w:vAlign w:val="center"/>
                </w:tcPr>
                <w:p>
                  <w:pPr>
                    <w:pStyle w:val="38"/>
                    <w:bidi w:val="0"/>
                    <w:rPr>
                      <w:u w:val="single"/>
                    </w:rPr>
                  </w:pPr>
                </w:p>
              </w:tc>
              <w:tc>
                <w:tcPr>
                  <w:tcW w:w="778" w:type="dxa"/>
                  <w:vMerge w:val="continue"/>
                  <w:noWrap w:val="0"/>
                  <w:vAlign w:val="center"/>
                </w:tcPr>
                <w:p>
                  <w:pPr>
                    <w:pStyle w:val="38"/>
                    <w:bidi w:val="0"/>
                    <w:rPr>
                      <w:u w:val="single"/>
                    </w:rPr>
                  </w:pPr>
                </w:p>
              </w:tc>
              <w:tc>
                <w:tcPr>
                  <w:tcW w:w="1173" w:type="dxa"/>
                  <w:vMerge w:val="continue"/>
                  <w:noWrap w:val="0"/>
                  <w:vAlign w:val="center"/>
                </w:tcPr>
                <w:p>
                  <w:pPr>
                    <w:pStyle w:val="38"/>
                    <w:bidi w:val="0"/>
                    <w:rPr>
                      <w:u w:val="single"/>
                    </w:rPr>
                  </w:pPr>
                </w:p>
              </w:tc>
              <w:tc>
                <w:tcPr>
                  <w:tcW w:w="4633" w:type="dxa"/>
                  <w:noWrap w:val="0"/>
                  <w:vAlign w:val="center"/>
                </w:tcPr>
                <w:p>
                  <w:pPr>
                    <w:pStyle w:val="38"/>
                    <w:bidi w:val="0"/>
                    <w:rPr>
                      <w:rFonts w:hint="eastAsia" w:eastAsia="宋体"/>
                      <w:u w:val="single"/>
                      <w:lang w:eastAsia="zh-CN"/>
                    </w:rPr>
                  </w:pPr>
                  <w:r>
                    <w:rPr>
                      <w:rFonts w:hint="eastAsia"/>
                      <w:u w:val="single"/>
                    </w:rPr>
                    <w:t>固废：垃圾桶</w:t>
                  </w:r>
                  <w:r>
                    <w:rPr>
                      <w:rFonts w:hint="eastAsia"/>
                      <w:u w:val="single"/>
                      <w:lang w:eastAsia="zh-CN"/>
                    </w:rPr>
                    <w:t>，危废暂存间</w:t>
                  </w:r>
                </w:p>
              </w:tc>
              <w:tc>
                <w:tcPr>
                  <w:tcW w:w="751" w:type="dxa"/>
                  <w:noWrap w:val="0"/>
                  <w:vAlign w:val="center"/>
                </w:tcPr>
                <w:p>
                  <w:pPr>
                    <w:pStyle w:val="38"/>
                    <w:bidi w:val="0"/>
                    <w:rPr>
                      <w:u w:val="single"/>
                    </w:rPr>
                  </w:pPr>
                  <w:r>
                    <w:rPr>
                      <w:rFonts w:hint="eastAsia"/>
                      <w:u w:val="single"/>
                    </w:rPr>
                    <w:t>新建</w:t>
                  </w:r>
                </w:p>
              </w:tc>
            </w:tr>
          </w:tbl>
          <w:p>
            <w:pPr>
              <w:pStyle w:val="27"/>
              <w:keepNext w:val="0"/>
              <w:keepLines w:val="0"/>
              <w:pageBreakBefore w:val="0"/>
              <w:widowControl w:val="0"/>
              <w:kinsoku/>
              <w:wordWrap w:val="0"/>
              <w:overflowPunct/>
              <w:topLinePunct w:val="0"/>
              <w:autoSpaceDE w:val="0"/>
              <w:autoSpaceDN w:val="0"/>
              <w:bidi w:val="0"/>
              <w:adjustRightInd/>
              <w:snapToGrid/>
              <w:textAlignment w:val="auto"/>
              <w:rPr>
                <w:rFonts w:hint="eastAsia"/>
                <w:lang w:eastAsia="zh-CN"/>
              </w:rPr>
            </w:pPr>
          </w:p>
          <w:p>
            <w:pPr>
              <w:pStyle w:val="27"/>
              <w:keepNext w:val="0"/>
              <w:keepLines w:val="0"/>
              <w:pageBreakBefore w:val="0"/>
              <w:widowControl w:val="0"/>
              <w:kinsoku/>
              <w:wordWrap w:val="0"/>
              <w:overflowPunct/>
              <w:topLinePunct w:val="0"/>
              <w:autoSpaceDE w:val="0"/>
              <w:autoSpaceDN w:val="0"/>
              <w:bidi w:val="0"/>
              <w:adjustRightInd/>
              <w:snapToGrid/>
              <w:textAlignment w:val="auto"/>
              <w:rPr>
                <w:rFonts w:hint="eastAsia"/>
                <w:lang w:eastAsia="zh-CN"/>
              </w:rPr>
            </w:pPr>
            <w:r>
              <w:rPr>
                <w:rFonts w:hint="eastAsia"/>
                <w:lang w:eastAsia="zh-CN"/>
              </w:rPr>
              <w:t>表</w:t>
            </w:r>
            <w:r>
              <w:rPr>
                <w:rFonts w:hint="eastAsia"/>
                <w:lang w:val="en-US" w:eastAsia="zh-CN"/>
              </w:rPr>
              <w:t>2-2</w:t>
            </w:r>
            <w:r>
              <w:rPr>
                <w:rFonts w:hint="eastAsia"/>
                <w:lang w:eastAsia="zh-CN"/>
              </w:rPr>
              <w:t>技术经济指标一览表</w:t>
            </w:r>
          </w:p>
          <w:tbl>
            <w:tblPr>
              <w:tblStyle w:val="32"/>
              <w:tblpPr w:leftFromText="180" w:rightFromText="180" w:vertAnchor="text" w:horzAnchor="page" w:tblpX="562" w:tblpY="1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1863"/>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92" w:type="dxa"/>
                  <w:vAlign w:val="center"/>
                </w:tcPr>
                <w:p>
                  <w:pPr>
                    <w:pStyle w:val="38"/>
                    <w:bidi w:val="0"/>
                    <w:jc w:val="center"/>
                    <w:rPr>
                      <w:rFonts w:hint="eastAsia"/>
                      <w:lang w:eastAsia="zh-CN"/>
                    </w:rPr>
                  </w:pPr>
                  <w:r>
                    <w:rPr>
                      <w:rFonts w:hint="eastAsia"/>
                      <w:lang w:eastAsia="zh-CN"/>
                    </w:rPr>
                    <w:t>名称</w:t>
                  </w:r>
                </w:p>
              </w:tc>
              <w:tc>
                <w:tcPr>
                  <w:tcW w:w="1863" w:type="dxa"/>
                  <w:vAlign w:val="center"/>
                </w:tcPr>
                <w:p>
                  <w:pPr>
                    <w:pStyle w:val="38"/>
                    <w:bidi w:val="0"/>
                    <w:jc w:val="center"/>
                    <w:rPr>
                      <w:rFonts w:hint="eastAsia"/>
                      <w:lang w:eastAsia="zh-CN"/>
                    </w:rPr>
                  </w:pPr>
                  <w:r>
                    <w:rPr>
                      <w:rFonts w:hint="eastAsia"/>
                      <w:lang w:eastAsia="zh-CN"/>
                    </w:rPr>
                    <w:t>指标</w:t>
                  </w:r>
                </w:p>
              </w:tc>
              <w:tc>
                <w:tcPr>
                  <w:tcW w:w="3323" w:type="dxa"/>
                  <w:vAlign w:val="center"/>
                </w:tcPr>
                <w:p>
                  <w:pPr>
                    <w:pStyle w:val="38"/>
                    <w:bidi w:val="0"/>
                    <w:jc w:val="center"/>
                    <w:rPr>
                      <w:rFonts w:hint="eastAsia"/>
                      <w:lang w:eastAsia="zh-CN"/>
                    </w:rPr>
                  </w:pPr>
                  <w:r>
                    <w:rPr>
                      <w:rFonts w:hint="eastAsia"/>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92" w:type="dxa"/>
                  <w:vAlign w:val="center"/>
                </w:tcPr>
                <w:p>
                  <w:pPr>
                    <w:pStyle w:val="38"/>
                    <w:bidi w:val="0"/>
                    <w:jc w:val="center"/>
                    <w:rPr>
                      <w:rFonts w:hint="eastAsia"/>
                      <w:lang w:eastAsia="zh-CN"/>
                    </w:rPr>
                  </w:pPr>
                  <w:r>
                    <w:rPr>
                      <w:rFonts w:hint="eastAsia"/>
                      <w:lang w:eastAsia="zh-CN"/>
                    </w:rPr>
                    <w:t>规划用地面积</w:t>
                  </w:r>
                </w:p>
              </w:tc>
              <w:tc>
                <w:tcPr>
                  <w:tcW w:w="1863" w:type="dxa"/>
                  <w:vAlign w:val="center"/>
                </w:tcPr>
                <w:p>
                  <w:pPr>
                    <w:pStyle w:val="38"/>
                    <w:bidi w:val="0"/>
                    <w:jc w:val="center"/>
                    <w:rPr>
                      <w:rFonts w:hint="default"/>
                      <w:lang w:val="en-US" w:eastAsia="zh-CN"/>
                    </w:rPr>
                  </w:pPr>
                  <w:r>
                    <w:rPr>
                      <w:rFonts w:hint="eastAsia"/>
                      <w:lang w:val="en-US" w:eastAsia="zh-CN"/>
                    </w:rPr>
                    <w:t>6322.91m</w:t>
                  </w:r>
                  <w:r>
                    <w:rPr>
                      <w:rFonts w:hint="eastAsia"/>
                      <w:vertAlign w:val="superscript"/>
                      <w:lang w:val="en-US" w:eastAsia="zh-CN"/>
                    </w:rPr>
                    <w:t>2</w:t>
                  </w:r>
                </w:p>
              </w:tc>
              <w:tc>
                <w:tcPr>
                  <w:tcW w:w="3323" w:type="dxa"/>
                  <w:vAlign w:val="center"/>
                </w:tcPr>
                <w:p>
                  <w:pPr>
                    <w:pStyle w:val="38"/>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92" w:type="dxa"/>
                  <w:vAlign w:val="center"/>
                </w:tcPr>
                <w:p>
                  <w:pPr>
                    <w:pStyle w:val="38"/>
                    <w:bidi w:val="0"/>
                    <w:jc w:val="center"/>
                    <w:rPr>
                      <w:rFonts w:hint="eastAsia"/>
                      <w:lang w:eastAsia="zh-CN"/>
                    </w:rPr>
                  </w:pPr>
                  <w:r>
                    <w:rPr>
                      <w:rFonts w:hint="eastAsia"/>
                      <w:lang w:eastAsia="zh-CN"/>
                    </w:rPr>
                    <w:t>总建筑面积</w:t>
                  </w:r>
                </w:p>
              </w:tc>
              <w:tc>
                <w:tcPr>
                  <w:tcW w:w="1863" w:type="dxa"/>
                  <w:vAlign w:val="center"/>
                </w:tcPr>
                <w:p>
                  <w:pPr>
                    <w:pStyle w:val="38"/>
                    <w:bidi w:val="0"/>
                    <w:jc w:val="center"/>
                    <w:rPr>
                      <w:rFonts w:hint="default"/>
                      <w:lang w:val="en-US" w:eastAsia="zh-CN"/>
                    </w:rPr>
                  </w:pPr>
                  <w:r>
                    <w:rPr>
                      <w:rFonts w:hint="eastAsia"/>
                      <w:lang w:val="en-US" w:eastAsia="zh-CN"/>
                    </w:rPr>
                    <w:t>4312.95m</w:t>
                  </w:r>
                  <w:r>
                    <w:rPr>
                      <w:rFonts w:hint="eastAsia"/>
                      <w:vertAlign w:val="superscript"/>
                      <w:lang w:val="en-US" w:eastAsia="zh-CN"/>
                    </w:rPr>
                    <w:t>2</w:t>
                  </w:r>
                </w:p>
              </w:tc>
              <w:tc>
                <w:tcPr>
                  <w:tcW w:w="3323" w:type="dxa"/>
                  <w:vAlign w:val="center"/>
                </w:tcPr>
                <w:p>
                  <w:pPr>
                    <w:pStyle w:val="38"/>
                    <w:bidi w:val="0"/>
                    <w:jc w:val="center"/>
                    <w:rPr>
                      <w:rFonts w:hint="eastAsia"/>
                      <w:lang w:val="en-US" w:eastAsia="zh-CN"/>
                    </w:rPr>
                  </w:pPr>
                  <w:r>
                    <w:rPr>
                      <w:rFonts w:hint="eastAsia"/>
                      <w:lang w:eastAsia="zh-CN"/>
                    </w:rPr>
                    <w:t>转运站：</w:t>
                  </w:r>
                  <w:r>
                    <w:rPr>
                      <w:rFonts w:hint="eastAsia"/>
                      <w:lang w:val="en-US" w:eastAsia="zh-CN"/>
                    </w:rPr>
                    <w:t>3326.67m</w:t>
                  </w:r>
                  <w:r>
                    <w:rPr>
                      <w:rFonts w:hint="eastAsia"/>
                      <w:vertAlign w:val="superscript"/>
                      <w:lang w:val="en-US" w:eastAsia="zh-CN"/>
                    </w:rPr>
                    <w:t>2</w:t>
                  </w:r>
                </w:p>
                <w:p>
                  <w:pPr>
                    <w:pStyle w:val="38"/>
                    <w:bidi w:val="0"/>
                    <w:jc w:val="center"/>
                    <w:rPr>
                      <w:rFonts w:hint="eastAsia"/>
                      <w:lang w:val="en-US" w:eastAsia="zh-CN"/>
                    </w:rPr>
                  </w:pPr>
                  <w:r>
                    <w:rPr>
                      <w:rFonts w:hint="eastAsia"/>
                      <w:lang w:val="en-US" w:eastAsia="zh-CN"/>
                    </w:rPr>
                    <w:t>办公楼：781.68m</w:t>
                  </w:r>
                  <w:r>
                    <w:rPr>
                      <w:rFonts w:hint="eastAsia"/>
                      <w:vertAlign w:val="superscript"/>
                      <w:lang w:val="en-US" w:eastAsia="zh-CN"/>
                    </w:rPr>
                    <w:t>2</w:t>
                  </w:r>
                </w:p>
                <w:p>
                  <w:pPr>
                    <w:pStyle w:val="38"/>
                    <w:bidi w:val="0"/>
                    <w:jc w:val="center"/>
                    <w:rPr>
                      <w:rFonts w:hint="eastAsia"/>
                      <w:lang w:val="en-US" w:eastAsia="zh-CN"/>
                    </w:rPr>
                  </w:pPr>
                  <w:r>
                    <w:rPr>
                      <w:rFonts w:hint="eastAsia"/>
                      <w:lang w:val="en-US" w:eastAsia="zh-CN"/>
                    </w:rPr>
                    <w:t>维修车间：84m</w:t>
                  </w:r>
                  <w:r>
                    <w:rPr>
                      <w:rFonts w:hint="eastAsia"/>
                      <w:vertAlign w:val="superscript"/>
                      <w:lang w:val="en-US" w:eastAsia="zh-CN"/>
                    </w:rPr>
                    <w:t>2</w:t>
                  </w:r>
                </w:p>
                <w:p>
                  <w:pPr>
                    <w:pStyle w:val="38"/>
                    <w:bidi w:val="0"/>
                    <w:jc w:val="center"/>
                    <w:rPr>
                      <w:rFonts w:hint="default"/>
                      <w:lang w:val="en-US" w:eastAsia="zh-CN"/>
                    </w:rPr>
                  </w:pPr>
                  <w:r>
                    <w:rPr>
                      <w:rFonts w:hint="eastAsia"/>
                      <w:lang w:val="en-US" w:eastAsia="zh-CN"/>
                    </w:rPr>
                    <w:t>自动洗车机：120.6m</w:t>
                  </w:r>
                  <w:r>
                    <w:rPr>
                      <w:rFonts w:hint="eastAsia"/>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92" w:type="dxa"/>
                  <w:vAlign w:val="center"/>
                </w:tcPr>
                <w:p>
                  <w:pPr>
                    <w:pStyle w:val="38"/>
                    <w:bidi w:val="0"/>
                    <w:jc w:val="center"/>
                    <w:rPr>
                      <w:rFonts w:hint="eastAsia"/>
                      <w:lang w:eastAsia="zh-CN"/>
                    </w:rPr>
                  </w:pPr>
                  <w:r>
                    <w:rPr>
                      <w:rFonts w:hint="eastAsia"/>
                      <w:lang w:eastAsia="zh-CN"/>
                    </w:rPr>
                    <w:t>建筑占地面积</w:t>
                  </w:r>
                </w:p>
              </w:tc>
              <w:tc>
                <w:tcPr>
                  <w:tcW w:w="1863" w:type="dxa"/>
                  <w:vAlign w:val="center"/>
                </w:tcPr>
                <w:p>
                  <w:pPr>
                    <w:pStyle w:val="38"/>
                    <w:bidi w:val="0"/>
                    <w:jc w:val="center"/>
                    <w:rPr>
                      <w:rFonts w:hint="default"/>
                      <w:lang w:val="en-US" w:eastAsia="zh-CN"/>
                    </w:rPr>
                  </w:pPr>
                  <w:r>
                    <w:rPr>
                      <w:rFonts w:hint="eastAsia"/>
                      <w:lang w:val="en-US" w:eastAsia="zh-CN"/>
                    </w:rPr>
                    <w:t>1911.86m</w:t>
                  </w:r>
                  <w:r>
                    <w:rPr>
                      <w:rFonts w:hint="eastAsia"/>
                      <w:vertAlign w:val="superscript"/>
                      <w:lang w:val="en-US" w:eastAsia="zh-CN"/>
                    </w:rPr>
                    <w:t>2</w:t>
                  </w:r>
                </w:p>
              </w:tc>
              <w:tc>
                <w:tcPr>
                  <w:tcW w:w="3323" w:type="dxa"/>
                  <w:vAlign w:val="center"/>
                </w:tcPr>
                <w:p>
                  <w:pPr>
                    <w:pStyle w:val="38"/>
                    <w:bidi w:val="0"/>
                    <w:jc w:val="center"/>
                    <w:rPr>
                      <w:rFonts w:hint="eastAsia"/>
                      <w:lang w:val="en-US" w:eastAsia="zh-CN"/>
                    </w:rPr>
                  </w:pPr>
                  <w:r>
                    <w:rPr>
                      <w:rFonts w:hint="eastAsia"/>
                      <w:lang w:eastAsia="zh-CN"/>
                    </w:rPr>
                    <w:t>转运站：</w:t>
                  </w:r>
                  <w:r>
                    <w:rPr>
                      <w:rFonts w:hint="eastAsia"/>
                      <w:lang w:val="en-US" w:eastAsia="zh-CN"/>
                    </w:rPr>
                    <w:t>1462.08m</w:t>
                  </w:r>
                  <w:r>
                    <w:rPr>
                      <w:rFonts w:hint="eastAsia"/>
                      <w:vertAlign w:val="superscript"/>
                      <w:lang w:val="en-US" w:eastAsia="zh-CN"/>
                    </w:rPr>
                    <w:t>2</w:t>
                  </w:r>
                </w:p>
                <w:p>
                  <w:pPr>
                    <w:pStyle w:val="38"/>
                    <w:bidi w:val="0"/>
                    <w:jc w:val="center"/>
                    <w:rPr>
                      <w:rFonts w:hint="eastAsia"/>
                      <w:lang w:val="en-US" w:eastAsia="zh-CN"/>
                    </w:rPr>
                  </w:pPr>
                  <w:r>
                    <w:rPr>
                      <w:rFonts w:hint="eastAsia"/>
                      <w:lang w:val="en-US" w:eastAsia="zh-CN"/>
                    </w:rPr>
                    <w:t>办公楼：245.18m</w:t>
                  </w:r>
                  <w:r>
                    <w:rPr>
                      <w:rFonts w:hint="eastAsia"/>
                      <w:vertAlign w:val="superscript"/>
                      <w:lang w:val="en-US" w:eastAsia="zh-CN"/>
                    </w:rPr>
                    <w:t>2</w:t>
                  </w:r>
                </w:p>
                <w:p>
                  <w:pPr>
                    <w:pStyle w:val="38"/>
                    <w:bidi w:val="0"/>
                    <w:jc w:val="center"/>
                    <w:rPr>
                      <w:rFonts w:hint="eastAsia"/>
                      <w:lang w:val="en-US" w:eastAsia="zh-CN"/>
                    </w:rPr>
                  </w:pPr>
                  <w:r>
                    <w:rPr>
                      <w:rFonts w:hint="eastAsia"/>
                      <w:lang w:val="en-US" w:eastAsia="zh-CN"/>
                    </w:rPr>
                    <w:t>维修车间：84m</w:t>
                  </w:r>
                  <w:r>
                    <w:rPr>
                      <w:rFonts w:hint="eastAsia"/>
                      <w:vertAlign w:val="superscript"/>
                      <w:lang w:val="en-US" w:eastAsia="zh-CN"/>
                    </w:rPr>
                    <w:t>2</w:t>
                  </w:r>
                </w:p>
                <w:p>
                  <w:pPr>
                    <w:pStyle w:val="38"/>
                    <w:bidi w:val="0"/>
                    <w:jc w:val="center"/>
                    <w:rPr>
                      <w:rFonts w:hint="default"/>
                      <w:lang w:val="en-US" w:eastAsia="zh-CN"/>
                    </w:rPr>
                  </w:pPr>
                  <w:r>
                    <w:rPr>
                      <w:rFonts w:hint="eastAsia"/>
                      <w:lang w:val="en-US" w:eastAsia="zh-CN"/>
                    </w:rPr>
                    <w:t>自动洗车机：120.6m</w:t>
                  </w:r>
                  <w:r>
                    <w:rPr>
                      <w:rFonts w:hint="eastAsia"/>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92" w:type="dxa"/>
                  <w:vAlign w:val="center"/>
                </w:tcPr>
                <w:p>
                  <w:pPr>
                    <w:pStyle w:val="38"/>
                    <w:bidi w:val="0"/>
                    <w:jc w:val="center"/>
                    <w:rPr>
                      <w:rFonts w:hint="eastAsia"/>
                      <w:lang w:eastAsia="zh-CN"/>
                    </w:rPr>
                  </w:pPr>
                  <w:r>
                    <w:rPr>
                      <w:rFonts w:hint="eastAsia"/>
                      <w:lang w:eastAsia="zh-CN"/>
                    </w:rPr>
                    <w:t>建筑密度</w:t>
                  </w:r>
                </w:p>
              </w:tc>
              <w:tc>
                <w:tcPr>
                  <w:tcW w:w="1863" w:type="dxa"/>
                  <w:vAlign w:val="center"/>
                </w:tcPr>
                <w:p>
                  <w:pPr>
                    <w:pStyle w:val="38"/>
                    <w:bidi w:val="0"/>
                    <w:jc w:val="center"/>
                    <w:rPr>
                      <w:rFonts w:hint="default"/>
                      <w:lang w:val="en-US" w:eastAsia="zh-CN"/>
                    </w:rPr>
                  </w:pPr>
                  <w:r>
                    <w:rPr>
                      <w:rFonts w:hint="eastAsia"/>
                      <w:lang w:val="en-US" w:eastAsia="zh-CN"/>
                    </w:rPr>
                    <w:t>30.23%</w:t>
                  </w:r>
                </w:p>
              </w:tc>
              <w:tc>
                <w:tcPr>
                  <w:tcW w:w="3323" w:type="dxa"/>
                  <w:vAlign w:val="center"/>
                </w:tcPr>
                <w:p>
                  <w:pPr>
                    <w:pStyle w:val="38"/>
                    <w:bidi w:val="0"/>
                    <w:jc w:val="cente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92" w:type="dxa"/>
                  <w:vAlign w:val="center"/>
                </w:tcPr>
                <w:p>
                  <w:pPr>
                    <w:pStyle w:val="38"/>
                    <w:bidi w:val="0"/>
                    <w:jc w:val="center"/>
                    <w:rPr>
                      <w:rFonts w:hint="eastAsia"/>
                      <w:lang w:eastAsia="zh-CN"/>
                    </w:rPr>
                  </w:pPr>
                  <w:r>
                    <w:rPr>
                      <w:rFonts w:hint="eastAsia"/>
                      <w:lang w:eastAsia="zh-CN"/>
                    </w:rPr>
                    <w:t>容积率</w:t>
                  </w:r>
                </w:p>
              </w:tc>
              <w:tc>
                <w:tcPr>
                  <w:tcW w:w="1863" w:type="dxa"/>
                  <w:vAlign w:val="center"/>
                </w:tcPr>
                <w:p>
                  <w:pPr>
                    <w:pStyle w:val="38"/>
                    <w:bidi w:val="0"/>
                    <w:jc w:val="center"/>
                    <w:rPr>
                      <w:rFonts w:hint="default"/>
                      <w:lang w:val="en-US" w:eastAsia="zh-CN"/>
                    </w:rPr>
                  </w:pPr>
                  <w:r>
                    <w:rPr>
                      <w:rFonts w:hint="eastAsia"/>
                      <w:lang w:val="en-US" w:eastAsia="zh-CN"/>
                    </w:rPr>
                    <w:t>0.68</w:t>
                  </w:r>
                </w:p>
              </w:tc>
              <w:tc>
                <w:tcPr>
                  <w:tcW w:w="3323" w:type="dxa"/>
                  <w:vAlign w:val="center"/>
                </w:tcPr>
                <w:p>
                  <w:pPr>
                    <w:pStyle w:val="38"/>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92" w:type="dxa"/>
                  <w:vAlign w:val="center"/>
                </w:tcPr>
                <w:p>
                  <w:pPr>
                    <w:pStyle w:val="38"/>
                    <w:bidi w:val="0"/>
                    <w:jc w:val="center"/>
                    <w:rPr>
                      <w:rFonts w:hint="eastAsia"/>
                      <w:lang w:eastAsia="zh-CN"/>
                    </w:rPr>
                  </w:pPr>
                  <w:r>
                    <w:rPr>
                      <w:rFonts w:hint="eastAsia"/>
                      <w:lang w:eastAsia="zh-CN"/>
                    </w:rPr>
                    <w:t>绿地率</w:t>
                  </w:r>
                </w:p>
              </w:tc>
              <w:tc>
                <w:tcPr>
                  <w:tcW w:w="1863" w:type="dxa"/>
                  <w:vAlign w:val="center"/>
                </w:tcPr>
                <w:p>
                  <w:pPr>
                    <w:pStyle w:val="38"/>
                    <w:bidi w:val="0"/>
                    <w:jc w:val="center"/>
                    <w:rPr>
                      <w:rFonts w:hint="default"/>
                      <w:lang w:val="en-US" w:eastAsia="zh-CN"/>
                    </w:rPr>
                  </w:pPr>
                  <w:r>
                    <w:rPr>
                      <w:rFonts w:hint="eastAsia"/>
                      <w:lang w:val="en-US" w:eastAsia="zh-CN"/>
                    </w:rPr>
                    <w:t>25%</w:t>
                  </w:r>
                </w:p>
              </w:tc>
              <w:tc>
                <w:tcPr>
                  <w:tcW w:w="3323" w:type="dxa"/>
                  <w:vAlign w:val="center"/>
                </w:tcPr>
                <w:p>
                  <w:pPr>
                    <w:pStyle w:val="38"/>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592" w:type="dxa"/>
                  <w:vAlign w:val="center"/>
                </w:tcPr>
                <w:p>
                  <w:pPr>
                    <w:pStyle w:val="38"/>
                    <w:bidi w:val="0"/>
                    <w:jc w:val="center"/>
                    <w:rPr>
                      <w:rFonts w:hint="eastAsia"/>
                      <w:lang w:eastAsia="zh-CN"/>
                    </w:rPr>
                  </w:pPr>
                  <w:r>
                    <w:rPr>
                      <w:rFonts w:hint="eastAsia"/>
                      <w:lang w:eastAsia="zh-CN"/>
                    </w:rPr>
                    <w:t>停车位</w:t>
                  </w:r>
                </w:p>
              </w:tc>
              <w:tc>
                <w:tcPr>
                  <w:tcW w:w="1863" w:type="dxa"/>
                  <w:vAlign w:val="center"/>
                </w:tcPr>
                <w:p>
                  <w:pPr>
                    <w:pStyle w:val="38"/>
                    <w:bidi w:val="0"/>
                    <w:jc w:val="center"/>
                    <w:rPr>
                      <w:rFonts w:hint="eastAsia"/>
                      <w:lang w:val="en-US" w:eastAsia="zh-CN"/>
                    </w:rPr>
                  </w:pPr>
                  <w:r>
                    <w:rPr>
                      <w:rFonts w:hint="eastAsia"/>
                      <w:lang w:val="en-US" w:eastAsia="zh-CN"/>
                    </w:rPr>
                    <w:t>5辆</w:t>
                  </w:r>
                </w:p>
              </w:tc>
              <w:tc>
                <w:tcPr>
                  <w:tcW w:w="3323" w:type="dxa"/>
                  <w:vAlign w:val="center"/>
                </w:tcPr>
                <w:p>
                  <w:pPr>
                    <w:pStyle w:val="38"/>
                    <w:bidi w:val="0"/>
                    <w:jc w:val="center"/>
                  </w:pPr>
                </w:p>
              </w:tc>
            </w:tr>
          </w:tbl>
          <w:p>
            <w:pPr>
              <w:spacing w:line="360" w:lineRule="auto"/>
              <w:ind w:left="0" w:leftChars="0" w:firstLine="0" w:firstLineChars="0"/>
            </w:pPr>
          </w:p>
          <w:p>
            <w:pPr>
              <w:bidi w:val="0"/>
              <w:rPr>
                <w:rFonts w:hint="eastAsia"/>
                <w:lang w:eastAsia="zh-CN"/>
              </w:rPr>
            </w:pPr>
            <w:r>
              <w:t>（3）</w:t>
            </w:r>
            <w:r>
              <w:rPr>
                <w:rFonts w:hint="eastAsia"/>
                <w:lang w:eastAsia="zh-CN"/>
              </w:rPr>
              <w:t>垃圾收运范围、收运路线及输送路线</w:t>
            </w:r>
          </w:p>
          <w:p>
            <w:pPr>
              <w:bidi w:val="0"/>
              <w:rPr>
                <w:rFonts w:hint="eastAsia"/>
                <w:u w:val="single"/>
                <w:lang w:eastAsia="zh-CN"/>
              </w:rPr>
            </w:pPr>
            <w:r>
              <w:rPr>
                <w:rFonts w:hint="eastAsia"/>
                <w:u w:val="single"/>
                <w:lang w:eastAsia="zh-CN"/>
              </w:rPr>
              <w:t>①收运范围</w:t>
            </w:r>
          </w:p>
          <w:p>
            <w:pPr>
              <w:bidi w:val="0"/>
              <w:rPr>
                <w:rFonts w:hint="eastAsia"/>
                <w:u w:val="single"/>
                <w:lang w:eastAsia="zh-CN"/>
              </w:rPr>
            </w:pPr>
            <w:r>
              <w:rPr>
                <w:rFonts w:hint="eastAsia"/>
                <w:u w:val="single"/>
                <w:lang w:eastAsia="zh-CN"/>
              </w:rPr>
              <w:t>凤凰县高峰垃圾转运站收纳范围包括凤凰县沱江镇、水打田乡、林峰乡、廖家桥镇、阿拉营镇、新场镇、落潮井镇、茶田镇、千工坪镇、山江镇、麻冲乡这11个乡镇的生活垃圾。</w:t>
            </w:r>
          </w:p>
          <w:p>
            <w:pPr>
              <w:bidi w:val="0"/>
              <w:rPr>
                <w:rFonts w:hint="eastAsia"/>
                <w:u w:val="single"/>
                <w:lang w:eastAsia="zh-CN"/>
              </w:rPr>
            </w:pPr>
            <w:r>
              <w:rPr>
                <w:rFonts w:hint="eastAsia"/>
                <w:u w:val="single"/>
                <w:lang w:eastAsia="zh-CN"/>
              </w:rPr>
              <w:t>②收运路线</w:t>
            </w:r>
          </w:p>
          <w:p>
            <w:pPr>
              <w:pStyle w:val="30"/>
              <w:keepNext w:val="0"/>
              <w:keepLines w:val="0"/>
              <w:pageBreakBefore w:val="0"/>
              <w:widowControl w:val="0"/>
              <w:kinsoku/>
              <w:wordWrap w:val="0"/>
              <w:overflowPunct/>
              <w:topLinePunct w:val="0"/>
              <w:autoSpaceDE w:val="0"/>
              <w:autoSpaceDN w:val="0"/>
              <w:bidi w:val="0"/>
              <w:adjustRightInd/>
              <w:snapToGrid/>
              <w:ind w:left="0" w:leftChars="0" w:firstLine="480" w:firstLineChars="200"/>
              <w:textAlignment w:val="auto"/>
              <w:rPr>
                <w:rFonts w:hint="eastAsia"/>
                <w:u w:val="single"/>
                <w:lang w:eastAsia="zh-CN"/>
              </w:rPr>
            </w:pPr>
            <w:r>
              <w:rPr>
                <w:rFonts w:hint="eastAsia"/>
                <w:u w:val="single"/>
              </w:rPr>
              <w:t>根据项目设计资料可知，项目收运</w:t>
            </w:r>
            <w:r>
              <w:rPr>
                <w:rFonts w:hint="eastAsia"/>
                <w:u w:val="single"/>
                <w:lang w:eastAsia="zh-CN"/>
              </w:rPr>
              <w:t>单位为环卫部门</w:t>
            </w:r>
            <w:r>
              <w:rPr>
                <w:rFonts w:hint="eastAsia"/>
                <w:u w:val="single"/>
              </w:rPr>
              <w:t>、转运单位为</w:t>
            </w:r>
            <w:r>
              <w:rPr>
                <w:rFonts w:hint="eastAsia"/>
                <w:u w:val="single"/>
                <w:lang w:eastAsia="zh-CN"/>
              </w:rPr>
              <w:t>凤凰县沱江镇垃圾转运站</w:t>
            </w:r>
            <w:r>
              <w:rPr>
                <w:rFonts w:hint="eastAsia"/>
                <w:u w:val="single"/>
              </w:rPr>
              <w:t>。项目收运路线</w:t>
            </w:r>
            <w:r>
              <w:rPr>
                <w:rFonts w:hint="eastAsia"/>
                <w:u w:val="single"/>
                <w:lang w:eastAsia="zh-CN"/>
              </w:rPr>
              <w:t>为：</w:t>
            </w:r>
          </w:p>
          <w:p>
            <w:pPr>
              <w:bidi w:val="0"/>
              <w:rPr>
                <w:rFonts w:hint="eastAsia" w:ascii="Arial" w:hAnsi="Arial" w:cs="Arial"/>
                <w:u w:val="single"/>
                <w:lang w:val="en-US" w:eastAsia="zh-CN"/>
              </w:rPr>
            </w:pPr>
            <w:r>
              <w:rPr>
                <w:rFonts w:hint="eastAsia"/>
                <w:u w:val="single"/>
                <w:lang w:val="en-US" w:eastAsia="zh-CN"/>
              </w:rPr>
              <w:t>a、</w:t>
            </w:r>
            <w:r>
              <w:rPr>
                <w:rFonts w:hint="eastAsia"/>
                <w:u w:val="single"/>
                <w:lang w:eastAsia="zh-CN"/>
              </w:rPr>
              <w:t>沱江镇、水打田乡和林峰乡</w:t>
            </w:r>
            <w:r>
              <w:rPr>
                <w:rFonts w:hint="eastAsia"/>
                <w:u w:val="single"/>
                <w:lang w:val="en-US" w:eastAsia="zh-CN"/>
              </w:rPr>
              <w:t>3个乡镇由村组垃圾点收集</w:t>
            </w:r>
            <w:r>
              <w:rPr>
                <w:rFonts w:hint="default" w:ascii="Arial" w:hAnsi="Arial" w:cs="Arial"/>
                <w:u w:val="single"/>
                <w:lang w:val="en-US" w:eastAsia="zh-CN"/>
              </w:rPr>
              <w:t>→</w:t>
            </w:r>
            <w:r>
              <w:rPr>
                <w:rFonts w:hint="eastAsia" w:ascii="Arial" w:hAnsi="Arial" w:cs="Arial"/>
                <w:u w:val="single"/>
                <w:lang w:val="en-US" w:eastAsia="zh-CN"/>
              </w:rPr>
              <w:t>运至高峰垃圾转运站压缩</w:t>
            </w:r>
            <w:r>
              <w:rPr>
                <w:rFonts w:hint="default" w:ascii="Arial" w:hAnsi="Arial" w:cs="Arial"/>
                <w:u w:val="single"/>
                <w:lang w:val="en-US" w:eastAsia="zh-CN"/>
              </w:rPr>
              <w:t>→</w:t>
            </w:r>
            <w:r>
              <w:rPr>
                <w:rFonts w:hint="eastAsia" w:ascii="Arial" w:hAnsi="Arial" w:cs="Arial"/>
                <w:u w:val="single"/>
                <w:lang w:val="en-US" w:eastAsia="zh-CN"/>
              </w:rPr>
              <w:t>转运至吉首市垃圾焚烧发电厂。</w:t>
            </w:r>
          </w:p>
          <w:p>
            <w:pPr>
              <w:pStyle w:val="30"/>
              <w:keepNext w:val="0"/>
              <w:keepLines w:val="0"/>
              <w:pageBreakBefore w:val="0"/>
              <w:widowControl w:val="0"/>
              <w:kinsoku/>
              <w:wordWrap w:val="0"/>
              <w:overflowPunct/>
              <w:topLinePunct w:val="0"/>
              <w:autoSpaceDE w:val="0"/>
              <w:autoSpaceDN w:val="0"/>
              <w:bidi w:val="0"/>
              <w:adjustRightInd/>
              <w:snapToGrid/>
              <w:ind w:left="0" w:leftChars="0" w:firstLine="480" w:firstLineChars="200"/>
              <w:textAlignment w:val="auto"/>
              <w:rPr>
                <w:rFonts w:hint="eastAsia"/>
                <w:u w:val="single"/>
                <w:lang w:eastAsia="zh-CN"/>
              </w:rPr>
            </w:pPr>
            <w:r>
              <w:rPr>
                <w:rFonts w:hint="eastAsia"/>
                <w:u w:val="single"/>
                <w:lang w:val="en-US" w:eastAsia="zh-CN"/>
              </w:rPr>
              <w:t>B、廖家桥镇、阿拉营镇、新场镇、落潮井镇、茶田镇、千工坪镇、山江镇、麻冲乡8个乡镇由村组垃圾点收集</w:t>
            </w:r>
            <w:r>
              <w:rPr>
                <w:rFonts w:hint="default" w:ascii="Arial" w:hAnsi="Arial" w:cs="Arial"/>
                <w:u w:val="single"/>
                <w:lang w:val="en-US" w:eastAsia="zh-CN"/>
              </w:rPr>
              <w:t>→</w:t>
            </w:r>
            <w:r>
              <w:rPr>
                <w:rFonts w:hint="eastAsia" w:ascii="Arial" w:hAnsi="Arial" w:cs="Arial"/>
                <w:u w:val="single"/>
                <w:lang w:val="en-US" w:eastAsia="zh-CN"/>
              </w:rPr>
              <w:t>运至乡镇中转站压缩</w:t>
            </w:r>
            <w:r>
              <w:rPr>
                <w:rFonts w:hint="default" w:ascii="Arial" w:hAnsi="Arial" w:cs="Arial"/>
                <w:u w:val="single"/>
                <w:lang w:val="en-US" w:eastAsia="zh-CN"/>
              </w:rPr>
              <w:t>→</w:t>
            </w:r>
            <w:r>
              <w:rPr>
                <w:rFonts w:hint="eastAsia" w:ascii="Arial" w:hAnsi="Arial" w:cs="Arial"/>
                <w:u w:val="single"/>
                <w:lang w:val="en-US" w:eastAsia="zh-CN"/>
              </w:rPr>
              <w:t>再转运至高峰垃圾转运站二次压缩</w:t>
            </w:r>
            <w:r>
              <w:rPr>
                <w:rFonts w:hint="default" w:ascii="Arial" w:hAnsi="Arial" w:cs="Arial"/>
                <w:u w:val="single"/>
                <w:lang w:val="en-US" w:eastAsia="zh-CN"/>
              </w:rPr>
              <w:t>→</w:t>
            </w:r>
            <w:r>
              <w:rPr>
                <w:rFonts w:hint="eastAsia" w:ascii="Arial" w:hAnsi="Arial" w:cs="Arial"/>
                <w:u w:val="single"/>
                <w:lang w:val="en-US" w:eastAsia="zh-CN"/>
              </w:rPr>
              <w:t>二次转运至吉首市垃圾焚烧发电厂</w:t>
            </w:r>
          </w:p>
          <w:p>
            <w:pPr>
              <w:bidi w:val="0"/>
              <w:rPr>
                <w:rFonts w:hint="eastAsia"/>
                <w:u w:val="single"/>
                <w:lang w:val="zh-CN" w:eastAsia="zh-CN"/>
              </w:rPr>
            </w:pPr>
            <w:r>
              <w:rPr>
                <w:rFonts w:hint="eastAsia"/>
                <w:u w:val="single"/>
                <w:lang w:eastAsia="zh-CN"/>
              </w:rPr>
              <w:t>③输送路线</w:t>
            </w:r>
          </w:p>
          <w:p>
            <w:pPr>
              <w:rPr>
                <w:rFonts w:hint="eastAsia"/>
                <w:lang w:val="zh-CN" w:eastAsia="zh-CN"/>
              </w:rPr>
            </w:pPr>
            <w:r>
              <w:rPr>
                <w:rFonts w:hint="eastAsia"/>
                <w:u w:val="single"/>
                <w:lang w:val="zh-CN" w:eastAsia="zh-CN"/>
              </w:rPr>
              <w:t>凤凰县沱江镇高峰垃圾转运站→杭瑞高速→常吉高速→319国道→进场道路。</w:t>
            </w:r>
          </w:p>
          <w:p>
            <w:pPr>
              <w:bidi w:val="0"/>
              <w:rPr>
                <w:u w:val="single"/>
              </w:rPr>
            </w:pPr>
            <w:r>
              <w:rPr>
                <w:rFonts w:hint="eastAsia"/>
                <w:u w:val="single"/>
                <w:lang w:eastAsia="zh-CN"/>
              </w:rPr>
              <w:t>（</w:t>
            </w:r>
            <w:r>
              <w:rPr>
                <w:rFonts w:hint="eastAsia"/>
                <w:u w:val="single"/>
                <w:lang w:val="en-US" w:eastAsia="zh-CN"/>
              </w:rPr>
              <w:t>4</w:t>
            </w:r>
            <w:r>
              <w:rPr>
                <w:rFonts w:hint="eastAsia"/>
                <w:u w:val="single"/>
                <w:lang w:eastAsia="zh-CN"/>
              </w:rPr>
              <w:t>）</w:t>
            </w:r>
            <w:r>
              <w:rPr>
                <w:u w:val="single"/>
              </w:rPr>
              <w:t>垃圾量预测</w:t>
            </w:r>
          </w:p>
          <w:p>
            <w:pPr>
              <w:spacing w:line="560" w:lineRule="exact"/>
              <w:ind w:firstLine="600"/>
              <w:jc w:val="both"/>
              <w:rPr>
                <w:rFonts w:hint="default"/>
                <w:u w:val="single"/>
              </w:rPr>
            </w:pPr>
            <w:r>
              <w:rPr>
                <w:rFonts w:hint="default"/>
                <w:u w:val="single"/>
              </w:rPr>
              <w:t>根据《生活垃圾转运站技术规范》CJJT-2016文件第2.2.5 “无实测值时，服务区垃圾清运量可按下式计算：</w:t>
            </w:r>
          </w:p>
          <w:p>
            <w:pPr>
              <w:spacing w:line="560" w:lineRule="exact"/>
              <w:ind w:firstLine="2640" w:firstLineChars="1100"/>
              <w:jc w:val="both"/>
              <w:rPr>
                <w:rFonts w:hint="default"/>
                <w:u w:val="single"/>
              </w:rPr>
            </w:pPr>
            <w:r>
              <w:rPr>
                <w:rFonts w:hint="default"/>
                <w:u w:val="single"/>
              </w:rPr>
              <w:t>QC=n·q/1000</w:t>
            </w:r>
          </w:p>
          <w:p>
            <w:pPr>
              <w:spacing w:line="560" w:lineRule="exact"/>
              <w:ind w:firstLine="600"/>
              <w:jc w:val="both"/>
              <w:rPr>
                <w:rFonts w:hint="default"/>
                <w:u w:val="single"/>
              </w:rPr>
            </w:pPr>
            <w:r>
              <w:rPr>
                <w:rFonts w:hint="default"/>
                <w:u w:val="single"/>
              </w:rPr>
              <w:t>式中：n——服务区内人数，人；</w:t>
            </w:r>
          </w:p>
          <w:p>
            <w:pPr>
              <w:spacing w:line="560" w:lineRule="exact"/>
              <w:ind w:firstLine="600"/>
              <w:jc w:val="both"/>
              <w:rPr>
                <w:rFonts w:hint="default"/>
                <w:u w:val="single"/>
              </w:rPr>
            </w:pPr>
            <w:r>
              <w:rPr>
                <w:rFonts w:hint="default"/>
                <w:u w:val="single"/>
              </w:rPr>
              <w:t>q——服务区内，人均垃圾排放量[kg/(人·d)], 城镇地区可取0.8kg/（人·d）~1.0kg/（人·d）；农村地区可取0.5kg/（ 人·d）~0.7kg/（ 人·d）。”</w:t>
            </w:r>
          </w:p>
          <w:p>
            <w:pPr>
              <w:spacing w:line="560" w:lineRule="exact"/>
              <w:ind w:firstLine="600"/>
              <w:jc w:val="both"/>
              <w:rPr>
                <w:rFonts w:hint="eastAsia"/>
                <w:u w:val="single"/>
              </w:rPr>
            </w:pPr>
            <w:r>
              <w:rPr>
                <w:rFonts w:hint="default"/>
                <w:u w:val="single"/>
              </w:rPr>
              <w:t>本项目根据上述文件以及实际情况，本项目</w:t>
            </w:r>
            <w:r>
              <w:rPr>
                <w:rFonts w:hint="eastAsia"/>
                <w:u w:val="single"/>
                <w:lang w:eastAsia="zh-CN"/>
              </w:rPr>
              <w:t>近期</w:t>
            </w:r>
            <w:r>
              <w:rPr>
                <w:rFonts w:hint="default"/>
                <w:u w:val="single"/>
              </w:rPr>
              <w:t>人均垃圾排放量取值0.65kg/（ 人·d），</w:t>
            </w:r>
            <w:r>
              <w:rPr>
                <w:rFonts w:hint="eastAsia"/>
                <w:u w:val="single"/>
                <w:lang w:eastAsia="zh-CN"/>
              </w:rPr>
              <w:t>远期</w:t>
            </w:r>
            <w:r>
              <w:rPr>
                <w:rFonts w:hint="default"/>
                <w:u w:val="single"/>
              </w:rPr>
              <w:t>人均垃圾排放量取值0.</w:t>
            </w:r>
            <w:r>
              <w:rPr>
                <w:rFonts w:hint="eastAsia"/>
                <w:u w:val="single"/>
                <w:lang w:val="en-US" w:eastAsia="zh-CN"/>
              </w:rPr>
              <w:t>7</w:t>
            </w:r>
            <w:r>
              <w:rPr>
                <w:rFonts w:hint="default"/>
                <w:u w:val="single"/>
              </w:rPr>
              <w:t>5kg/（ 人·d）</w:t>
            </w:r>
            <w:r>
              <w:rPr>
                <w:rFonts w:hint="eastAsia"/>
                <w:u w:val="single"/>
                <w:lang w:eastAsia="zh-CN"/>
              </w:rPr>
              <w:t>，</w:t>
            </w:r>
            <w:r>
              <w:rPr>
                <w:rFonts w:hint="default"/>
                <w:u w:val="single"/>
              </w:rPr>
              <w:t>具体生活垃圾日产量预测如下表</w:t>
            </w:r>
            <w:r>
              <w:rPr>
                <w:rFonts w:hint="eastAsia"/>
                <w:u w:val="single"/>
                <w:lang w:val="en-US" w:eastAsia="zh-CN"/>
              </w:rPr>
              <w:t>2-3</w:t>
            </w:r>
            <w:r>
              <w:rPr>
                <w:rFonts w:hint="default"/>
                <w:u w:val="single"/>
              </w:rPr>
              <w:t>所示：</w:t>
            </w:r>
          </w:p>
          <w:p>
            <w:pPr>
              <w:pStyle w:val="39"/>
              <w:bidi w:val="0"/>
              <w:rPr>
                <w:u w:val="single"/>
              </w:rPr>
            </w:pPr>
            <w:r>
              <w:rPr>
                <w:rFonts w:hint="eastAsia"/>
                <w:u w:val="single"/>
              </w:rPr>
              <w:t>表</w:t>
            </w:r>
            <w:r>
              <w:rPr>
                <w:rFonts w:hint="eastAsia"/>
                <w:u w:val="single"/>
                <w:lang w:val="en-US" w:eastAsia="zh-CN"/>
              </w:rPr>
              <w:t>2-3</w:t>
            </w:r>
            <w:r>
              <w:rPr>
                <w:u w:val="single"/>
              </w:rPr>
              <w:t xml:space="preserve">        </w:t>
            </w:r>
            <w:r>
              <w:rPr>
                <w:rFonts w:hint="eastAsia"/>
                <w:u w:val="single"/>
              </w:rPr>
              <w:t>凤凰县生活垃圾日产量预测表</w:t>
            </w:r>
          </w:p>
          <w:tbl>
            <w:tblPr>
              <w:tblStyle w:val="31"/>
              <w:tblW w:w="49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25"/>
              <w:gridCol w:w="1320"/>
              <w:gridCol w:w="1566"/>
              <w:gridCol w:w="1566"/>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52" w:type="pct"/>
                  <w:shd w:val="clear" w:color="auto" w:fill="auto"/>
                  <w:noWrap/>
                  <w:vAlign w:val="center"/>
                </w:tcPr>
                <w:p>
                  <w:pPr>
                    <w:pStyle w:val="38"/>
                    <w:bidi w:val="0"/>
                    <w:rPr>
                      <w:u w:val="single"/>
                    </w:rPr>
                  </w:pPr>
                  <w:r>
                    <w:rPr>
                      <w:rFonts w:hint="eastAsia"/>
                      <w:u w:val="single"/>
                    </w:rPr>
                    <w:t>序号</w:t>
                  </w:r>
                </w:p>
              </w:tc>
              <w:tc>
                <w:tcPr>
                  <w:tcW w:w="716" w:type="pct"/>
                  <w:shd w:val="clear" w:color="auto" w:fill="auto"/>
                  <w:noWrap w:val="0"/>
                  <w:vAlign w:val="center"/>
                </w:tcPr>
                <w:p>
                  <w:pPr>
                    <w:pStyle w:val="38"/>
                    <w:bidi w:val="0"/>
                    <w:rPr>
                      <w:rFonts w:hint="eastAsia"/>
                      <w:u w:val="single"/>
                    </w:rPr>
                  </w:pPr>
                  <w:r>
                    <w:rPr>
                      <w:rFonts w:hint="eastAsia"/>
                      <w:u w:val="single"/>
                    </w:rPr>
                    <w:t>区域</w:t>
                  </w:r>
                </w:p>
              </w:tc>
              <w:tc>
                <w:tcPr>
                  <w:tcW w:w="840" w:type="pct"/>
                  <w:shd w:val="clear" w:color="auto" w:fill="auto"/>
                  <w:noWrap w:val="0"/>
                  <w:vAlign w:val="center"/>
                </w:tcPr>
                <w:p>
                  <w:pPr>
                    <w:pStyle w:val="38"/>
                    <w:bidi w:val="0"/>
                    <w:rPr>
                      <w:rFonts w:hint="eastAsia"/>
                      <w:u w:val="single"/>
                    </w:rPr>
                  </w:pPr>
                  <w:r>
                    <w:rPr>
                      <w:rFonts w:hint="eastAsia"/>
                      <w:u w:val="single"/>
                      <w:lang w:eastAsia="zh-CN"/>
                    </w:rPr>
                    <w:t>近期</w:t>
                  </w:r>
                  <w:r>
                    <w:rPr>
                      <w:rFonts w:hint="eastAsia"/>
                      <w:u w:val="single"/>
                    </w:rPr>
                    <w:t>常住人口（人）</w:t>
                  </w:r>
                </w:p>
              </w:tc>
              <w:tc>
                <w:tcPr>
                  <w:tcW w:w="997" w:type="pct"/>
                  <w:shd w:val="clear" w:color="auto" w:fill="auto"/>
                  <w:noWrap w:val="0"/>
                  <w:vAlign w:val="center"/>
                </w:tcPr>
                <w:p>
                  <w:pPr>
                    <w:pStyle w:val="38"/>
                    <w:bidi w:val="0"/>
                    <w:rPr>
                      <w:rFonts w:hint="eastAsia"/>
                      <w:u w:val="single"/>
                    </w:rPr>
                  </w:pPr>
                  <w:r>
                    <w:rPr>
                      <w:rFonts w:hint="eastAsia"/>
                      <w:u w:val="single"/>
                      <w:lang w:eastAsia="zh-CN"/>
                    </w:rPr>
                    <w:t>近期</w:t>
                  </w:r>
                  <w:r>
                    <w:rPr>
                      <w:rFonts w:hint="eastAsia"/>
                      <w:u w:val="single"/>
                    </w:rPr>
                    <w:t>日垃圾产量（吨）</w:t>
                  </w:r>
                </w:p>
              </w:tc>
              <w:tc>
                <w:tcPr>
                  <w:tcW w:w="1566" w:type="dxa"/>
                  <w:shd w:val="clear" w:color="auto" w:fill="auto"/>
                  <w:noWrap w:val="0"/>
                  <w:vAlign w:val="center"/>
                </w:tcPr>
                <w:p>
                  <w:pPr>
                    <w:pStyle w:val="38"/>
                    <w:bidi w:val="0"/>
                    <w:ind w:firstLine="0" w:firstLineChars="0"/>
                    <w:rPr>
                      <w:rFonts w:hint="eastAsia"/>
                      <w:u w:val="single"/>
                      <w:lang w:eastAsia="zh-CN"/>
                    </w:rPr>
                  </w:pPr>
                  <w:r>
                    <w:rPr>
                      <w:rFonts w:hint="eastAsia"/>
                      <w:u w:val="single"/>
                      <w:lang w:eastAsia="zh-CN"/>
                    </w:rPr>
                    <w:t>远期</w:t>
                  </w:r>
                  <w:r>
                    <w:rPr>
                      <w:rFonts w:hint="eastAsia"/>
                      <w:u w:val="single"/>
                    </w:rPr>
                    <w:t>常住人口（人）</w:t>
                  </w:r>
                </w:p>
              </w:tc>
              <w:tc>
                <w:tcPr>
                  <w:tcW w:w="1566" w:type="dxa"/>
                  <w:shd w:val="clear" w:color="auto" w:fill="auto"/>
                  <w:noWrap w:val="0"/>
                  <w:vAlign w:val="center"/>
                </w:tcPr>
                <w:p>
                  <w:pPr>
                    <w:pStyle w:val="38"/>
                    <w:bidi w:val="0"/>
                    <w:ind w:firstLine="0" w:firstLineChars="0"/>
                    <w:rPr>
                      <w:rFonts w:hint="eastAsia"/>
                      <w:u w:val="single"/>
                      <w:lang w:eastAsia="zh-CN"/>
                    </w:rPr>
                  </w:pPr>
                  <w:r>
                    <w:rPr>
                      <w:rFonts w:hint="eastAsia"/>
                      <w:u w:val="single"/>
                      <w:lang w:eastAsia="zh-CN"/>
                    </w:rPr>
                    <w:t>远期</w:t>
                  </w:r>
                  <w:r>
                    <w:rPr>
                      <w:rFonts w:hint="eastAsia"/>
                      <w:u w:val="single"/>
                    </w:rPr>
                    <w:t>日垃圾产量（吨）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52" w:type="pct"/>
                  <w:shd w:val="clear" w:color="auto" w:fill="auto"/>
                  <w:noWrap/>
                  <w:vAlign w:val="center"/>
                </w:tcPr>
                <w:p>
                  <w:pPr>
                    <w:pStyle w:val="38"/>
                    <w:bidi w:val="0"/>
                    <w:rPr>
                      <w:rFonts w:hint="eastAsia" w:eastAsia="宋体"/>
                      <w:u w:val="single"/>
                      <w:lang w:val="en-US" w:eastAsia="zh-CN"/>
                    </w:rPr>
                  </w:pPr>
                  <w:r>
                    <w:rPr>
                      <w:rFonts w:hint="eastAsia"/>
                      <w:u w:val="single"/>
                      <w:lang w:val="en-US" w:eastAsia="zh-CN"/>
                    </w:rPr>
                    <w:t>1</w:t>
                  </w:r>
                </w:p>
              </w:tc>
              <w:tc>
                <w:tcPr>
                  <w:tcW w:w="716" w:type="pct"/>
                  <w:shd w:val="clear" w:color="auto" w:fill="auto"/>
                  <w:noWrap w:val="0"/>
                  <w:vAlign w:val="center"/>
                </w:tcPr>
                <w:p>
                  <w:pPr>
                    <w:pStyle w:val="38"/>
                    <w:bidi w:val="0"/>
                    <w:rPr>
                      <w:rFonts w:hint="eastAsia"/>
                      <w:u w:val="single"/>
                    </w:rPr>
                  </w:pPr>
                  <w:r>
                    <w:rPr>
                      <w:rFonts w:hint="eastAsia"/>
                      <w:u w:val="single"/>
                    </w:rPr>
                    <w:t>城区</w:t>
                  </w:r>
                </w:p>
              </w:tc>
              <w:tc>
                <w:tcPr>
                  <w:tcW w:w="840" w:type="pct"/>
                  <w:shd w:val="clear" w:color="auto" w:fill="auto"/>
                  <w:noWrap w:val="0"/>
                  <w:vAlign w:val="center"/>
                </w:tcPr>
                <w:p>
                  <w:pPr>
                    <w:pStyle w:val="38"/>
                    <w:bidi w:val="0"/>
                    <w:rPr>
                      <w:rFonts w:hint="eastAsia"/>
                      <w:u w:val="single"/>
                    </w:rPr>
                  </w:pPr>
                  <w:r>
                    <w:rPr>
                      <w:rFonts w:hint="eastAsia"/>
                      <w:u w:val="single"/>
                    </w:rPr>
                    <w:t>　</w:t>
                  </w:r>
                </w:p>
              </w:tc>
              <w:tc>
                <w:tcPr>
                  <w:tcW w:w="997" w:type="pct"/>
                  <w:shd w:val="clear" w:color="auto" w:fill="auto"/>
                  <w:noWrap w:val="0"/>
                  <w:vAlign w:val="center"/>
                </w:tcPr>
                <w:p>
                  <w:pPr>
                    <w:pStyle w:val="38"/>
                    <w:bidi w:val="0"/>
                    <w:rPr>
                      <w:rFonts w:hint="eastAsia"/>
                      <w:u w:val="single"/>
                    </w:rPr>
                  </w:pPr>
                  <w:r>
                    <w:rPr>
                      <w:rFonts w:hint="eastAsia"/>
                      <w:u w:val="single"/>
                    </w:rPr>
                    <w:t>150</w:t>
                  </w:r>
                </w:p>
              </w:tc>
              <w:tc>
                <w:tcPr>
                  <w:tcW w:w="997" w:type="pct"/>
                  <w:shd w:val="clear" w:color="auto" w:fill="auto"/>
                  <w:noWrap w:val="0"/>
                  <w:vAlign w:val="center"/>
                </w:tcPr>
                <w:p>
                  <w:pPr>
                    <w:pStyle w:val="38"/>
                    <w:bidi w:val="0"/>
                    <w:jc w:val="both"/>
                    <w:rPr>
                      <w:rFonts w:hint="default" w:eastAsia="宋体"/>
                      <w:u w:val="single"/>
                      <w:lang w:val="en-US" w:eastAsia="zh-CN"/>
                    </w:rPr>
                  </w:pPr>
                  <w:r>
                    <w:rPr>
                      <w:rFonts w:hint="eastAsia"/>
                      <w:u w:val="single"/>
                    </w:rPr>
                    <w:t>　</w:t>
                  </w:r>
                </w:p>
              </w:tc>
              <w:tc>
                <w:tcPr>
                  <w:tcW w:w="997" w:type="pct"/>
                  <w:shd w:val="clear" w:color="auto" w:fill="auto"/>
                  <w:noWrap w:val="0"/>
                  <w:vAlign w:val="center"/>
                </w:tcPr>
                <w:p>
                  <w:pPr>
                    <w:pStyle w:val="38"/>
                    <w:bidi w:val="0"/>
                    <w:rPr>
                      <w:rFonts w:hint="default" w:eastAsia="宋体"/>
                      <w:u w:val="single"/>
                      <w:lang w:val="en-US" w:eastAsia="zh-CN"/>
                    </w:rPr>
                  </w:pPr>
                  <w:r>
                    <w:rPr>
                      <w:rFonts w:hint="eastAsia"/>
                      <w:u w:val="single"/>
                      <w:lang w:val="en-US" w:eastAsia="zh-CN"/>
                    </w:rPr>
                    <w:t>173.1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0" w:type="dxa"/>
                  <w:shd w:val="clear" w:color="auto" w:fill="auto"/>
                  <w:noWrap/>
                  <w:vAlign w:val="center"/>
                </w:tcPr>
                <w:p>
                  <w:pPr>
                    <w:pStyle w:val="38"/>
                    <w:bidi w:val="0"/>
                    <w:ind w:firstLine="0" w:firstLineChars="0"/>
                    <w:rPr>
                      <w:rFonts w:hint="eastAsia"/>
                      <w:u w:val="single"/>
                    </w:rPr>
                  </w:pPr>
                  <w:r>
                    <w:rPr>
                      <w:rFonts w:hint="eastAsia"/>
                      <w:u w:val="single"/>
                    </w:rPr>
                    <w:t>2</w:t>
                  </w:r>
                </w:p>
              </w:tc>
              <w:tc>
                <w:tcPr>
                  <w:tcW w:w="716" w:type="pct"/>
                  <w:shd w:val="clear" w:color="auto" w:fill="auto"/>
                  <w:noWrap w:val="0"/>
                  <w:vAlign w:val="center"/>
                </w:tcPr>
                <w:p>
                  <w:pPr>
                    <w:pStyle w:val="38"/>
                    <w:bidi w:val="0"/>
                    <w:rPr>
                      <w:rFonts w:hint="eastAsia"/>
                      <w:u w:val="single"/>
                    </w:rPr>
                  </w:pPr>
                  <w:r>
                    <w:rPr>
                      <w:rFonts w:hint="eastAsia"/>
                      <w:u w:val="single"/>
                    </w:rPr>
                    <w:t>沱江镇</w:t>
                  </w:r>
                </w:p>
              </w:tc>
              <w:tc>
                <w:tcPr>
                  <w:tcW w:w="840" w:type="pct"/>
                  <w:shd w:val="clear" w:color="auto" w:fill="auto"/>
                  <w:noWrap w:val="0"/>
                  <w:vAlign w:val="center"/>
                </w:tcPr>
                <w:p>
                  <w:pPr>
                    <w:pStyle w:val="38"/>
                    <w:bidi w:val="0"/>
                    <w:rPr>
                      <w:rFonts w:hint="eastAsia"/>
                      <w:u w:val="single"/>
                    </w:rPr>
                  </w:pPr>
                  <w:r>
                    <w:rPr>
                      <w:rFonts w:hint="eastAsia"/>
                      <w:u w:val="single"/>
                    </w:rPr>
                    <w:t>26440</w:t>
                  </w:r>
                </w:p>
              </w:tc>
              <w:tc>
                <w:tcPr>
                  <w:tcW w:w="997" w:type="pct"/>
                  <w:shd w:val="clear" w:color="auto" w:fill="auto"/>
                  <w:noWrap/>
                  <w:vAlign w:val="center"/>
                </w:tcPr>
                <w:p>
                  <w:pPr>
                    <w:pStyle w:val="38"/>
                    <w:bidi w:val="0"/>
                    <w:rPr>
                      <w:rFonts w:hint="eastAsia"/>
                      <w:u w:val="single"/>
                    </w:rPr>
                  </w:pPr>
                  <w:r>
                    <w:rPr>
                      <w:rFonts w:hint="eastAsia"/>
                      <w:u w:val="single"/>
                    </w:rPr>
                    <w:t xml:space="preserve">17.19 </w:t>
                  </w:r>
                </w:p>
              </w:tc>
              <w:tc>
                <w:tcPr>
                  <w:tcW w:w="997" w:type="pct"/>
                  <w:shd w:val="clear" w:color="auto" w:fill="auto"/>
                  <w:noWrap/>
                  <w:vAlign w:val="center"/>
                </w:tcPr>
                <w:p>
                  <w:pPr>
                    <w:pStyle w:val="38"/>
                    <w:bidi w:val="0"/>
                    <w:rPr>
                      <w:rFonts w:hint="default" w:eastAsia="宋体"/>
                      <w:u w:val="single"/>
                      <w:lang w:val="en-US" w:eastAsia="zh-CN"/>
                    </w:rPr>
                  </w:pPr>
                  <w:r>
                    <w:rPr>
                      <w:rFonts w:hint="eastAsia"/>
                      <w:u w:val="single"/>
                      <w:lang w:val="en-US" w:eastAsia="zh-CN"/>
                    </w:rPr>
                    <w:t>35165</w:t>
                  </w:r>
                </w:p>
              </w:tc>
              <w:tc>
                <w:tcPr>
                  <w:tcW w:w="997" w:type="pct"/>
                  <w:shd w:val="clear" w:color="auto" w:fill="auto"/>
                  <w:noWrap/>
                  <w:vAlign w:val="center"/>
                </w:tcPr>
                <w:p>
                  <w:pPr>
                    <w:pStyle w:val="38"/>
                    <w:bidi w:val="0"/>
                    <w:rPr>
                      <w:rFonts w:hint="default" w:eastAsia="宋体"/>
                      <w:u w:val="single"/>
                      <w:lang w:val="en-US" w:eastAsia="zh-CN"/>
                    </w:rPr>
                  </w:pPr>
                  <w:r>
                    <w:rPr>
                      <w:rFonts w:hint="eastAsia"/>
                      <w:u w:val="single"/>
                      <w:lang w:val="en-US" w:eastAsia="zh-CN"/>
                    </w:rPr>
                    <w:t>26.37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0" w:type="dxa"/>
                  <w:shd w:val="clear" w:color="auto" w:fill="auto"/>
                  <w:noWrap/>
                  <w:vAlign w:val="center"/>
                </w:tcPr>
                <w:p>
                  <w:pPr>
                    <w:pStyle w:val="38"/>
                    <w:bidi w:val="0"/>
                    <w:ind w:firstLine="0" w:firstLineChars="0"/>
                    <w:rPr>
                      <w:rFonts w:hint="eastAsia"/>
                      <w:u w:val="single"/>
                    </w:rPr>
                  </w:pPr>
                  <w:r>
                    <w:rPr>
                      <w:rFonts w:hint="eastAsia"/>
                      <w:u w:val="single"/>
                    </w:rPr>
                    <w:t>3</w:t>
                  </w:r>
                </w:p>
              </w:tc>
              <w:tc>
                <w:tcPr>
                  <w:tcW w:w="716" w:type="pct"/>
                  <w:shd w:val="clear" w:color="auto" w:fill="auto"/>
                  <w:noWrap w:val="0"/>
                  <w:vAlign w:val="center"/>
                </w:tcPr>
                <w:p>
                  <w:pPr>
                    <w:pStyle w:val="38"/>
                    <w:bidi w:val="0"/>
                    <w:rPr>
                      <w:rFonts w:hint="eastAsia"/>
                      <w:u w:val="single"/>
                    </w:rPr>
                  </w:pPr>
                  <w:r>
                    <w:rPr>
                      <w:rFonts w:hint="eastAsia"/>
                      <w:u w:val="single"/>
                    </w:rPr>
                    <w:t>水打田乡</w:t>
                  </w:r>
                </w:p>
              </w:tc>
              <w:tc>
                <w:tcPr>
                  <w:tcW w:w="840" w:type="pct"/>
                  <w:shd w:val="clear" w:color="auto" w:fill="auto"/>
                  <w:noWrap w:val="0"/>
                  <w:vAlign w:val="center"/>
                </w:tcPr>
                <w:p>
                  <w:pPr>
                    <w:pStyle w:val="38"/>
                    <w:bidi w:val="0"/>
                    <w:rPr>
                      <w:rFonts w:hint="eastAsia"/>
                      <w:u w:val="single"/>
                    </w:rPr>
                  </w:pPr>
                  <w:r>
                    <w:rPr>
                      <w:rFonts w:hint="eastAsia"/>
                      <w:u w:val="single"/>
                    </w:rPr>
                    <w:t>8147</w:t>
                  </w:r>
                </w:p>
              </w:tc>
              <w:tc>
                <w:tcPr>
                  <w:tcW w:w="997" w:type="pct"/>
                  <w:shd w:val="clear" w:color="auto" w:fill="auto"/>
                  <w:noWrap/>
                  <w:vAlign w:val="center"/>
                </w:tcPr>
                <w:p>
                  <w:pPr>
                    <w:pStyle w:val="38"/>
                    <w:bidi w:val="0"/>
                    <w:rPr>
                      <w:rFonts w:hint="eastAsia"/>
                      <w:u w:val="single"/>
                    </w:rPr>
                  </w:pPr>
                  <w:r>
                    <w:rPr>
                      <w:rFonts w:hint="eastAsia"/>
                      <w:u w:val="single"/>
                    </w:rPr>
                    <w:t xml:space="preserve">5.30 </w:t>
                  </w:r>
                </w:p>
              </w:tc>
              <w:tc>
                <w:tcPr>
                  <w:tcW w:w="997" w:type="pct"/>
                  <w:shd w:val="clear" w:color="auto" w:fill="auto"/>
                  <w:noWrap/>
                  <w:vAlign w:val="center"/>
                </w:tcPr>
                <w:p>
                  <w:pPr>
                    <w:pStyle w:val="38"/>
                    <w:bidi w:val="0"/>
                    <w:rPr>
                      <w:rFonts w:hint="default" w:eastAsia="宋体"/>
                      <w:u w:val="single"/>
                      <w:lang w:val="en-US" w:eastAsia="zh-CN"/>
                    </w:rPr>
                  </w:pPr>
                  <w:r>
                    <w:rPr>
                      <w:rFonts w:hint="eastAsia"/>
                      <w:u w:val="single"/>
                      <w:lang w:val="en-US" w:eastAsia="zh-CN"/>
                    </w:rPr>
                    <w:t>10835</w:t>
                  </w:r>
                </w:p>
              </w:tc>
              <w:tc>
                <w:tcPr>
                  <w:tcW w:w="997" w:type="pct"/>
                  <w:shd w:val="clear" w:color="auto" w:fill="auto"/>
                  <w:noWrap/>
                  <w:vAlign w:val="center"/>
                </w:tcPr>
                <w:p>
                  <w:pPr>
                    <w:pStyle w:val="38"/>
                    <w:bidi w:val="0"/>
                    <w:rPr>
                      <w:rFonts w:hint="default" w:eastAsia="宋体"/>
                      <w:u w:val="single"/>
                      <w:lang w:val="en-US" w:eastAsia="zh-CN"/>
                    </w:rPr>
                  </w:pPr>
                  <w:r>
                    <w:rPr>
                      <w:rFonts w:hint="eastAsia"/>
                      <w:u w:val="single"/>
                      <w:lang w:val="en-US" w:eastAsia="zh-CN"/>
                    </w:rPr>
                    <w:t>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0" w:type="dxa"/>
                  <w:shd w:val="clear" w:color="auto" w:fill="auto"/>
                  <w:noWrap/>
                  <w:vAlign w:val="center"/>
                </w:tcPr>
                <w:p>
                  <w:pPr>
                    <w:pStyle w:val="38"/>
                    <w:bidi w:val="0"/>
                    <w:ind w:firstLine="0" w:firstLineChars="0"/>
                    <w:rPr>
                      <w:rFonts w:hint="eastAsia"/>
                      <w:u w:val="single"/>
                    </w:rPr>
                  </w:pPr>
                  <w:r>
                    <w:rPr>
                      <w:rFonts w:hint="eastAsia"/>
                      <w:u w:val="single"/>
                      <w:lang w:val="en-US" w:eastAsia="zh-CN"/>
                    </w:rPr>
                    <w:t>4</w:t>
                  </w:r>
                </w:p>
              </w:tc>
              <w:tc>
                <w:tcPr>
                  <w:tcW w:w="716" w:type="pct"/>
                  <w:shd w:val="clear" w:color="auto" w:fill="auto"/>
                  <w:noWrap w:val="0"/>
                  <w:vAlign w:val="center"/>
                </w:tcPr>
                <w:p>
                  <w:pPr>
                    <w:pStyle w:val="38"/>
                    <w:bidi w:val="0"/>
                    <w:rPr>
                      <w:rFonts w:hint="eastAsia"/>
                      <w:u w:val="single"/>
                    </w:rPr>
                  </w:pPr>
                  <w:r>
                    <w:rPr>
                      <w:rFonts w:hint="eastAsia"/>
                      <w:u w:val="single"/>
                    </w:rPr>
                    <w:t>林峰乡</w:t>
                  </w:r>
                </w:p>
              </w:tc>
              <w:tc>
                <w:tcPr>
                  <w:tcW w:w="840" w:type="pct"/>
                  <w:shd w:val="clear" w:color="auto" w:fill="auto"/>
                  <w:noWrap w:val="0"/>
                  <w:vAlign w:val="center"/>
                </w:tcPr>
                <w:p>
                  <w:pPr>
                    <w:pStyle w:val="38"/>
                    <w:bidi w:val="0"/>
                    <w:rPr>
                      <w:rFonts w:hint="eastAsia"/>
                      <w:u w:val="single"/>
                    </w:rPr>
                  </w:pPr>
                  <w:r>
                    <w:rPr>
                      <w:rFonts w:hint="eastAsia"/>
                      <w:u w:val="single"/>
                    </w:rPr>
                    <w:t>8083</w:t>
                  </w:r>
                </w:p>
              </w:tc>
              <w:tc>
                <w:tcPr>
                  <w:tcW w:w="997" w:type="pct"/>
                  <w:shd w:val="clear" w:color="auto" w:fill="auto"/>
                  <w:noWrap/>
                  <w:vAlign w:val="center"/>
                </w:tcPr>
                <w:p>
                  <w:pPr>
                    <w:pStyle w:val="38"/>
                    <w:bidi w:val="0"/>
                    <w:rPr>
                      <w:rFonts w:hint="eastAsia"/>
                      <w:u w:val="single"/>
                    </w:rPr>
                  </w:pPr>
                  <w:r>
                    <w:rPr>
                      <w:rFonts w:hint="eastAsia"/>
                      <w:u w:val="single"/>
                    </w:rPr>
                    <w:t xml:space="preserve">5.25 </w:t>
                  </w:r>
                </w:p>
              </w:tc>
              <w:tc>
                <w:tcPr>
                  <w:tcW w:w="997" w:type="pct"/>
                  <w:shd w:val="clear" w:color="auto" w:fill="auto"/>
                  <w:noWrap/>
                  <w:vAlign w:val="center"/>
                </w:tcPr>
                <w:p>
                  <w:pPr>
                    <w:pStyle w:val="38"/>
                    <w:bidi w:val="0"/>
                    <w:rPr>
                      <w:rFonts w:hint="default" w:eastAsia="宋体"/>
                      <w:u w:val="single"/>
                      <w:lang w:val="en-US" w:eastAsia="zh-CN"/>
                    </w:rPr>
                  </w:pPr>
                  <w:r>
                    <w:rPr>
                      <w:rFonts w:hint="eastAsia"/>
                      <w:u w:val="single"/>
                      <w:lang w:val="en-US" w:eastAsia="zh-CN"/>
                    </w:rPr>
                    <w:t>10750</w:t>
                  </w:r>
                </w:p>
              </w:tc>
              <w:tc>
                <w:tcPr>
                  <w:tcW w:w="997" w:type="pct"/>
                  <w:shd w:val="clear" w:color="auto" w:fill="auto"/>
                  <w:noWrap/>
                  <w:vAlign w:val="center"/>
                </w:tcPr>
                <w:p>
                  <w:pPr>
                    <w:pStyle w:val="38"/>
                    <w:bidi w:val="0"/>
                    <w:rPr>
                      <w:rFonts w:hint="default" w:eastAsia="宋体"/>
                      <w:u w:val="single"/>
                      <w:lang w:val="en-US" w:eastAsia="zh-CN"/>
                    </w:rPr>
                  </w:pPr>
                  <w:r>
                    <w:rPr>
                      <w:rFonts w:hint="eastAsia"/>
                      <w:u w:val="single"/>
                      <w:lang w:val="en-US" w:eastAsia="zh-CN"/>
                    </w:rPr>
                    <w:t>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0" w:type="dxa"/>
                  <w:shd w:val="clear" w:color="auto" w:fill="auto"/>
                  <w:noWrap/>
                  <w:vAlign w:val="center"/>
                </w:tcPr>
                <w:p>
                  <w:pPr>
                    <w:pStyle w:val="38"/>
                    <w:bidi w:val="0"/>
                    <w:ind w:firstLine="0" w:firstLineChars="0"/>
                    <w:rPr>
                      <w:rFonts w:hint="eastAsia" w:eastAsia="宋体"/>
                      <w:u w:val="single"/>
                      <w:lang w:val="en-US" w:eastAsia="zh-CN"/>
                    </w:rPr>
                  </w:pPr>
                  <w:r>
                    <w:rPr>
                      <w:rFonts w:hint="eastAsia"/>
                      <w:u w:val="single"/>
                      <w:lang w:val="en-US" w:eastAsia="zh-CN"/>
                    </w:rPr>
                    <w:t>5</w:t>
                  </w:r>
                </w:p>
              </w:tc>
              <w:tc>
                <w:tcPr>
                  <w:tcW w:w="716" w:type="pct"/>
                  <w:shd w:val="clear" w:color="auto" w:fill="auto"/>
                  <w:noWrap w:val="0"/>
                  <w:vAlign w:val="center"/>
                </w:tcPr>
                <w:p>
                  <w:pPr>
                    <w:pStyle w:val="38"/>
                    <w:bidi w:val="0"/>
                    <w:ind w:firstLine="0" w:firstLineChars="0"/>
                    <w:rPr>
                      <w:rFonts w:hint="eastAsia" w:ascii="Times New Roman" w:hAnsi="Times New Roman" w:eastAsia="宋体" w:cs="宋体"/>
                      <w:sz w:val="21"/>
                      <w:szCs w:val="21"/>
                      <w:u w:val="single"/>
                      <w:lang w:val="zh-CN" w:eastAsia="zh-CN" w:bidi="zh-CN"/>
                    </w:rPr>
                  </w:pPr>
                  <w:r>
                    <w:rPr>
                      <w:rFonts w:hint="eastAsia"/>
                      <w:u w:val="single"/>
                    </w:rPr>
                    <w:t>廖家桥镇</w:t>
                  </w:r>
                </w:p>
              </w:tc>
              <w:tc>
                <w:tcPr>
                  <w:tcW w:w="840" w:type="pct"/>
                  <w:shd w:val="clear" w:color="auto" w:fill="auto"/>
                  <w:noWrap w:val="0"/>
                  <w:vAlign w:val="center"/>
                </w:tcPr>
                <w:p>
                  <w:pPr>
                    <w:pStyle w:val="38"/>
                    <w:bidi w:val="0"/>
                    <w:ind w:firstLine="0" w:firstLineChars="0"/>
                    <w:rPr>
                      <w:rFonts w:hint="eastAsia" w:ascii="Times New Roman" w:hAnsi="Times New Roman" w:eastAsia="宋体" w:cs="宋体"/>
                      <w:sz w:val="21"/>
                      <w:szCs w:val="21"/>
                      <w:u w:val="single"/>
                      <w:lang w:val="zh-CN" w:eastAsia="zh-CN" w:bidi="zh-CN"/>
                    </w:rPr>
                  </w:pPr>
                  <w:r>
                    <w:rPr>
                      <w:rFonts w:hint="eastAsia"/>
                      <w:u w:val="single"/>
                    </w:rPr>
                    <w:t>12538</w:t>
                  </w:r>
                </w:p>
              </w:tc>
              <w:tc>
                <w:tcPr>
                  <w:tcW w:w="997" w:type="pct"/>
                  <w:shd w:val="clear" w:color="auto" w:fill="auto"/>
                  <w:noWrap/>
                  <w:vAlign w:val="center"/>
                </w:tcPr>
                <w:p>
                  <w:pPr>
                    <w:pStyle w:val="38"/>
                    <w:bidi w:val="0"/>
                    <w:ind w:firstLine="0" w:firstLineChars="0"/>
                    <w:rPr>
                      <w:rFonts w:hint="eastAsia" w:ascii="Times New Roman" w:hAnsi="Times New Roman" w:eastAsia="宋体" w:cs="宋体"/>
                      <w:sz w:val="21"/>
                      <w:szCs w:val="21"/>
                      <w:u w:val="single"/>
                      <w:lang w:val="zh-CN" w:eastAsia="zh-CN" w:bidi="zh-CN"/>
                    </w:rPr>
                  </w:pPr>
                  <w:r>
                    <w:rPr>
                      <w:rFonts w:hint="eastAsia"/>
                      <w:u w:val="single"/>
                    </w:rPr>
                    <w:t xml:space="preserve">8.15 </w:t>
                  </w:r>
                </w:p>
              </w:tc>
              <w:tc>
                <w:tcPr>
                  <w:tcW w:w="997" w:type="pct"/>
                  <w:shd w:val="clear" w:color="auto" w:fill="auto"/>
                  <w:noWrap/>
                  <w:vAlign w:val="center"/>
                </w:tcPr>
                <w:p>
                  <w:pPr>
                    <w:pStyle w:val="38"/>
                    <w:bidi w:val="0"/>
                    <w:ind w:firstLine="0" w:firstLineChars="0"/>
                    <w:rPr>
                      <w:rFonts w:hint="default" w:eastAsia="宋体"/>
                      <w:u w:val="single"/>
                      <w:lang w:val="en-US" w:eastAsia="zh-CN"/>
                    </w:rPr>
                  </w:pPr>
                  <w:r>
                    <w:rPr>
                      <w:rFonts w:hint="eastAsia"/>
                      <w:u w:val="single"/>
                      <w:lang w:val="en-US" w:eastAsia="zh-CN"/>
                    </w:rPr>
                    <w:t>16676</w:t>
                  </w:r>
                </w:p>
              </w:tc>
              <w:tc>
                <w:tcPr>
                  <w:tcW w:w="997" w:type="pct"/>
                  <w:shd w:val="clear" w:color="auto" w:fill="auto"/>
                  <w:noWrap/>
                  <w:vAlign w:val="center"/>
                </w:tcPr>
                <w:p>
                  <w:pPr>
                    <w:pStyle w:val="38"/>
                    <w:bidi w:val="0"/>
                    <w:ind w:firstLine="0" w:firstLineChars="0"/>
                    <w:rPr>
                      <w:rFonts w:hint="default" w:eastAsia="宋体"/>
                      <w:u w:val="single"/>
                      <w:lang w:val="en-US" w:eastAsia="zh-CN"/>
                    </w:rPr>
                  </w:pPr>
                  <w:r>
                    <w:rPr>
                      <w:rFonts w:hint="eastAsia"/>
                      <w:u w:val="single"/>
                      <w:lang w:val="en-US" w:eastAsia="zh-CN"/>
                    </w:rPr>
                    <w:t>12.51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0" w:type="dxa"/>
                  <w:shd w:val="clear" w:color="auto" w:fill="auto"/>
                  <w:noWrap/>
                  <w:vAlign w:val="center"/>
                </w:tcPr>
                <w:p>
                  <w:pPr>
                    <w:pStyle w:val="38"/>
                    <w:bidi w:val="0"/>
                    <w:ind w:firstLine="0" w:firstLineChars="0"/>
                    <w:rPr>
                      <w:rFonts w:hint="eastAsia" w:eastAsia="宋体"/>
                      <w:u w:val="single"/>
                      <w:lang w:eastAsia="zh-CN"/>
                    </w:rPr>
                  </w:pPr>
                  <w:r>
                    <w:rPr>
                      <w:rFonts w:hint="eastAsia"/>
                      <w:u w:val="single"/>
                      <w:lang w:val="en-US" w:eastAsia="zh-CN"/>
                    </w:rPr>
                    <w:t>6</w:t>
                  </w:r>
                </w:p>
              </w:tc>
              <w:tc>
                <w:tcPr>
                  <w:tcW w:w="716" w:type="pct"/>
                  <w:shd w:val="clear" w:color="auto" w:fill="auto"/>
                  <w:noWrap w:val="0"/>
                  <w:vAlign w:val="center"/>
                </w:tcPr>
                <w:p>
                  <w:pPr>
                    <w:pStyle w:val="38"/>
                    <w:bidi w:val="0"/>
                    <w:rPr>
                      <w:rFonts w:hint="eastAsia"/>
                      <w:u w:val="single"/>
                    </w:rPr>
                  </w:pPr>
                  <w:r>
                    <w:rPr>
                      <w:rFonts w:hint="eastAsia"/>
                      <w:u w:val="single"/>
                    </w:rPr>
                    <w:t>阿拉营镇</w:t>
                  </w:r>
                </w:p>
              </w:tc>
              <w:tc>
                <w:tcPr>
                  <w:tcW w:w="840" w:type="pct"/>
                  <w:shd w:val="clear" w:color="auto" w:fill="auto"/>
                  <w:noWrap w:val="0"/>
                  <w:vAlign w:val="center"/>
                </w:tcPr>
                <w:p>
                  <w:pPr>
                    <w:pStyle w:val="38"/>
                    <w:bidi w:val="0"/>
                    <w:rPr>
                      <w:rFonts w:hint="eastAsia"/>
                      <w:u w:val="single"/>
                    </w:rPr>
                  </w:pPr>
                  <w:r>
                    <w:rPr>
                      <w:rFonts w:hint="eastAsia"/>
                      <w:u w:val="single"/>
                    </w:rPr>
                    <w:t>31119</w:t>
                  </w:r>
                </w:p>
              </w:tc>
              <w:tc>
                <w:tcPr>
                  <w:tcW w:w="997" w:type="pct"/>
                  <w:shd w:val="clear" w:color="auto" w:fill="auto"/>
                  <w:noWrap/>
                  <w:vAlign w:val="center"/>
                </w:tcPr>
                <w:p>
                  <w:pPr>
                    <w:pStyle w:val="38"/>
                    <w:bidi w:val="0"/>
                    <w:rPr>
                      <w:rFonts w:hint="eastAsia"/>
                      <w:u w:val="single"/>
                    </w:rPr>
                  </w:pPr>
                  <w:r>
                    <w:rPr>
                      <w:rFonts w:hint="eastAsia"/>
                      <w:u w:val="single"/>
                    </w:rPr>
                    <w:t xml:space="preserve">20.23 </w:t>
                  </w:r>
                </w:p>
              </w:tc>
              <w:tc>
                <w:tcPr>
                  <w:tcW w:w="997" w:type="pct"/>
                  <w:shd w:val="clear" w:color="auto" w:fill="auto"/>
                  <w:noWrap/>
                  <w:vAlign w:val="center"/>
                </w:tcPr>
                <w:p>
                  <w:pPr>
                    <w:pStyle w:val="38"/>
                    <w:bidi w:val="0"/>
                    <w:rPr>
                      <w:rFonts w:hint="default" w:eastAsia="宋体"/>
                      <w:u w:val="single"/>
                      <w:lang w:val="en-US" w:eastAsia="zh-CN"/>
                    </w:rPr>
                  </w:pPr>
                  <w:r>
                    <w:rPr>
                      <w:rFonts w:hint="eastAsia"/>
                      <w:u w:val="single"/>
                      <w:lang w:val="en-US" w:eastAsia="zh-CN"/>
                    </w:rPr>
                    <w:t>41388</w:t>
                  </w:r>
                </w:p>
              </w:tc>
              <w:tc>
                <w:tcPr>
                  <w:tcW w:w="997" w:type="pct"/>
                  <w:shd w:val="clear" w:color="auto" w:fill="auto"/>
                  <w:noWrap/>
                  <w:vAlign w:val="center"/>
                </w:tcPr>
                <w:p>
                  <w:pPr>
                    <w:pStyle w:val="38"/>
                    <w:bidi w:val="0"/>
                    <w:rPr>
                      <w:rFonts w:hint="default" w:eastAsia="宋体"/>
                      <w:u w:val="single"/>
                      <w:lang w:val="en-US" w:eastAsia="zh-CN"/>
                    </w:rPr>
                  </w:pPr>
                  <w:r>
                    <w:rPr>
                      <w:rFonts w:hint="eastAsia"/>
                      <w:u w:val="single"/>
                      <w:lang w:val="en-US" w:eastAsia="zh-CN"/>
                    </w:rPr>
                    <w:t>31.04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0" w:type="dxa"/>
                  <w:shd w:val="clear" w:color="auto" w:fill="auto"/>
                  <w:noWrap/>
                  <w:vAlign w:val="center"/>
                </w:tcPr>
                <w:p>
                  <w:pPr>
                    <w:pStyle w:val="38"/>
                    <w:bidi w:val="0"/>
                    <w:ind w:firstLine="0" w:firstLineChars="0"/>
                    <w:rPr>
                      <w:rFonts w:hint="eastAsia" w:eastAsia="宋体"/>
                      <w:u w:val="single"/>
                      <w:lang w:val="en-US" w:eastAsia="zh-CN"/>
                    </w:rPr>
                  </w:pPr>
                  <w:r>
                    <w:rPr>
                      <w:rFonts w:hint="eastAsia"/>
                      <w:u w:val="single"/>
                      <w:lang w:val="en-US" w:eastAsia="zh-CN"/>
                    </w:rPr>
                    <w:t>7</w:t>
                  </w:r>
                </w:p>
              </w:tc>
              <w:tc>
                <w:tcPr>
                  <w:tcW w:w="716" w:type="pct"/>
                  <w:shd w:val="clear" w:color="auto" w:fill="auto"/>
                  <w:noWrap w:val="0"/>
                  <w:vAlign w:val="center"/>
                </w:tcPr>
                <w:p>
                  <w:pPr>
                    <w:pStyle w:val="38"/>
                    <w:bidi w:val="0"/>
                    <w:rPr>
                      <w:rFonts w:hint="eastAsia" w:eastAsia="宋体"/>
                      <w:u w:val="single"/>
                      <w:lang w:eastAsia="zh-CN"/>
                    </w:rPr>
                  </w:pPr>
                  <w:r>
                    <w:rPr>
                      <w:rFonts w:hint="eastAsia"/>
                      <w:u w:val="single"/>
                      <w:lang w:eastAsia="zh-CN"/>
                    </w:rPr>
                    <w:t>新场镇</w:t>
                  </w:r>
                </w:p>
              </w:tc>
              <w:tc>
                <w:tcPr>
                  <w:tcW w:w="840" w:type="pct"/>
                  <w:shd w:val="clear" w:color="auto" w:fill="auto"/>
                  <w:noWrap w:val="0"/>
                  <w:vAlign w:val="center"/>
                </w:tcPr>
                <w:p>
                  <w:pPr>
                    <w:pStyle w:val="38"/>
                    <w:bidi w:val="0"/>
                    <w:rPr>
                      <w:rFonts w:hint="eastAsia"/>
                      <w:u w:val="single"/>
                    </w:rPr>
                  </w:pPr>
                  <w:r>
                    <w:rPr>
                      <w:rFonts w:hint="eastAsia"/>
                      <w:u w:val="single"/>
                    </w:rPr>
                    <w:t>22353</w:t>
                  </w:r>
                </w:p>
              </w:tc>
              <w:tc>
                <w:tcPr>
                  <w:tcW w:w="997" w:type="pct"/>
                  <w:shd w:val="clear" w:color="auto" w:fill="auto"/>
                  <w:noWrap/>
                  <w:vAlign w:val="center"/>
                </w:tcPr>
                <w:p>
                  <w:pPr>
                    <w:pStyle w:val="38"/>
                    <w:bidi w:val="0"/>
                    <w:rPr>
                      <w:rFonts w:hint="eastAsia"/>
                      <w:u w:val="single"/>
                    </w:rPr>
                  </w:pPr>
                  <w:r>
                    <w:rPr>
                      <w:rFonts w:hint="eastAsia"/>
                      <w:u w:val="single"/>
                    </w:rPr>
                    <w:t xml:space="preserve">14.53 </w:t>
                  </w:r>
                </w:p>
              </w:tc>
              <w:tc>
                <w:tcPr>
                  <w:tcW w:w="997" w:type="pct"/>
                  <w:shd w:val="clear" w:color="auto" w:fill="auto"/>
                  <w:noWrap/>
                  <w:vAlign w:val="center"/>
                </w:tcPr>
                <w:p>
                  <w:pPr>
                    <w:pStyle w:val="38"/>
                    <w:bidi w:val="0"/>
                    <w:rPr>
                      <w:rFonts w:hint="default" w:eastAsia="宋体"/>
                      <w:u w:val="single"/>
                      <w:lang w:val="en-US" w:eastAsia="zh-CN"/>
                    </w:rPr>
                  </w:pPr>
                  <w:r>
                    <w:rPr>
                      <w:rFonts w:hint="eastAsia"/>
                      <w:u w:val="single"/>
                      <w:lang w:val="en-US" w:eastAsia="zh-CN"/>
                    </w:rPr>
                    <w:t>29729</w:t>
                  </w:r>
                </w:p>
              </w:tc>
              <w:tc>
                <w:tcPr>
                  <w:tcW w:w="997" w:type="pct"/>
                  <w:shd w:val="clear" w:color="auto" w:fill="auto"/>
                  <w:noWrap/>
                  <w:vAlign w:val="center"/>
                </w:tcPr>
                <w:p>
                  <w:pPr>
                    <w:pStyle w:val="38"/>
                    <w:bidi w:val="0"/>
                    <w:rPr>
                      <w:rFonts w:hint="default" w:eastAsia="宋体"/>
                      <w:u w:val="single"/>
                      <w:lang w:val="en-US" w:eastAsia="zh-CN"/>
                    </w:rPr>
                  </w:pPr>
                  <w:r>
                    <w:rPr>
                      <w:rFonts w:hint="eastAsia"/>
                      <w:u w:val="single"/>
                      <w:lang w:val="en-US" w:eastAsia="zh-CN"/>
                    </w:rPr>
                    <w:t>22.30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0" w:type="dxa"/>
                  <w:shd w:val="clear" w:color="auto" w:fill="auto"/>
                  <w:noWrap/>
                  <w:vAlign w:val="center"/>
                </w:tcPr>
                <w:p>
                  <w:pPr>
                    <w:pStyle w:val="38"/>
                    <w:bidi w:val="0"/>
                    <w:ind w:firstLine="0" w:firstLineChars="0"/>
                    <w:rPr>
                      <w:rFonts w:hint="eastAsia" w:eastAsia="宋体"/>
                      <w:u w:val="single"/>
                      <w:lang w:eastAsia="zh-CN"/>
                    </w:rPr>
                  </w:pPr>
                  <w:r>
                    <w:rPr>
                      <w:rFonts w:hint="eastAsia"/>
                      <w:u w:val="single"/>
                      <w:lang w:val="en-US" w:eastAsia="zh-CN"/>
                    </w:rPr>
                    <w:t>8</w:t>
                  </w:r>
                </w:p>
              </w:tc>
              <w:tc>
                <w:tcPr>
                  <w:tcW w:w="716" w:type="pct"/>
                  <w:shd w:val="clear" w:color="auto" w:fill="auto"/>
                  <w:noWrap w:val="0"/>
                  <w:vAlign w:val="center"/>
                </w:tcPr>
                <w:p>
                  <w:pPr>
                    <w:pStyle w:val="38"/>
                    <w:bidi w:val="0"/>
                    <w:rPr>
                      <w:rFonts w:hint="eastAsia"/>
                      <w:u w:val="single"/>
                    </w:rPr>
                  </w:pPr>
                  <w:r>
                    <w:rPr>
                      <w:rFonts w:hint="eastAsia"/>
                      <w:u w:val="single"/>
                    </w:rPr>
                    <w:t>落潮井镇</w:t>
                  </w:r>
                </w:p>
              </w:tc>
              <w:tc>
                <w:tcPr>
                  <w:tcW w:w="840" w:type="pct"/>
                  <w:shd w:val="clear" w:color="auto" w:fill="auto"/>
                  <w:noWrap w:val="0"/>
                  <w:vAlign w:val="center"/>
                </w:tcPr>
                <w:p>
                  <w:pPr>
                    <w:pStyle w:val="38"/>
                    <w:bidi w:val="0"/>
                    <w:rPr>
                      <w:rFonts w:hint="eastAsia"/>
                      <w:u w:val="single"/>
                    </w:rPr>
                  </w:pPr>
                  <w:r>
                    <w:rPr>
                      <w:rFonts w:hint="eastAsia"/>
                      <w:u w:val="single"/>
                    </w:rPr>
                    <w:t>16874</w:t>
                  </w:r>
                </w:p>
              </w:tc>
              <w:tc>
                <w:tcPr>
                  <w:tcW w:w="997" w:type="pct"/>
                  <w:shd w:val="clear" w:color="auto" w:fill="auto"/>
                  <w:noWrap/>
                  <w:vAlign w:val="center"/>
                </w:tcPr>
                <w:p>
                  <w:pPr>
                    <w:pStyle w:val="38"/>
                    <w:bidi w:val="0"/>
                    <w:rPr>
                      <w:rFonts w:hint="eastAsia"/>
                      <w:u w:val="single"/>
                    </w:rPr>
                  </w:pPr>
                  <w:r>
                    <w:rPr>
                      <w:rFonts w:hint="eastAsia"/>
                      <w:u w:val="single"/>
                    </w:rPr>
                    <w:t xml:space="preserve">10.97 </w:t>
                  </w:r>
                </w:p>
              </w:tc>
              <w:tc>
                <w:tcPr>
                  <w:tcW w:w="997" w:type="pct"/>
                  <w:shd w:val="clear" w:color="auto" w:fill="auto"/>
                  <w:noWrap/>
                  <w:vAlign w:val="center"/>
                </w:tcPr>
                <w:p>
                  <w:pPr>
                    <w:pStyle w:val="38"/>
                    <w:bidi w:val="0"/>
                    <w:rPr>
                      <w:rFonts w:hint="default" w:eastAsia="宋体"/>
                      <w:u w:val="single"/>
                      <w:lang w:val="en-US" w:eastAsia="zh-CN"/>
                    </w:rPr>
                  </w:pPr>
                  <w:r>
                    <w:rPr>
                      <w:rFonts w:hint="eastAsia"/>
                      <w:u w:val="single"/>
                      <w:lang w:val="en-US" w:eastAsia="zh-CN"/>
                    </w:rPr>
                    <w:t>22442</w:t>
                  </w:r>
                </w:p>
              </w:tc>
              <w:tc>
                <w:tcPr>
                  <w:tcW w:w="997" w:type="pct"/>
                  <w:shd w:val="clear" w:color="auto" w:fill="auto"/>
                  <w:noWrap/>
                  <w:vAlign w:val="center"/>
                </w:tcPr>
                <w:p>
                  <w:pPr>
                    <w:pStyle w:val="38"/>
                    <w:bidi w:val="0"/>
                    <w:rPr>
                      <w:rFonts w:hint="default" w:eastAsia="宋体"/>
                      <w:u w:val="single"/>
                      <w:lang w:val="en-US" w:eastAsia="zh-CN"/>
                    </w:rPr>
                  </w:pPr>
                  <w:r>
                    <w:rPr>
                      <w:rFonts w:hint="eastAsia"/>
                      <w:u w:val="single"/>
                      <w:lang w:val="en-US" w:eastAsia="zh-CN"/>
                    </w:rPr>
                    <w:t>16.83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0" w:type="dxa"/>
                  <w:shd w:val="clear" w:color="auto" w:fill="auto"/>
                  <w:noWrap/>
                  <w:vAlign w:val="center"/>
                </w:tcPr>
                <w:p>
                  <w:pPr>
                    <w:pStyle w:val="38"/>
                    <w:bidi w:val="0"/>
                    <w:ind w:firstLine="0" w:firstLineChars="0"/>
                    <w:rPr>
                      <w:rFonts w:hint="eastAsia" w:eastAsia="宋体"/>
                      <w:u w:val="single"/>
                      <w:lang w:val="en-US" w:eastAsia="zh-CN"/>
                    </w:rPr>
                  </w:pPr>
                  <w:r>
                    <w:rPr>
                      <w:rFonts w:hint="eastAsia"/>
                      <w:u w:val="single"/>
                      <w:lang w:val="en-US" w:eastAsia="zh-CN"/>
                    </w:rPr>
                    <w:t>9</w:t>
                  </w:r>
                </w:p>
              </w:tc>
              <w:tc>
                <w:tcPr>
                  <w:tcW w:w="716" w:type="pct"/>
                  <w:shd w:val="clear" w:color="auto" w:fill="auto"/>
                  <w:noWrap w:val="0"/>
                  <w:vAlign w:val="center"/>
                </w:tcPr>
                <w:p>
                  <w:pPr>
                    <w:pStyle w:val="38"/>
                    <w:bidi w:val="0"/>
                    <w:ind w:firstLine="0" w:firstLineChars="0"/>
                    <w:rPr>
                      <w:rFonts w:hint="eastAsia" w:ascii="Times New Roman" w:hAnsi="Times New Roman" w:eastAsia="宋体" w:cs="宋体"/>
                      <w:sz w:val="21"/>
                      <w:szCs w:val="21"/>
                      <w:u w:val="single"/>
                      <w:lang w:val="zh-CN" w:eastAsia="zh-CN" w:bidi="zh-CN"/>
                    </w:rPr>
                  </w:pPr>
                  <w:r>
                    <w:rPr>
                      <w:rFonts w:hint="eastAsia"/>
                      <w:u w:val="single"/>
                    </w:rPr>
                    <w:t>茶田镇</w:t>
                  </w:r>
                </w:p>
              </w:tc>
              <w:tc>
                <w:tcPr>
                  <w:tcW w:w="840" w:type="pct"/>
                  <w:shd w:val="clear" w:color="auto" w:fill="auto"/>
                  <w:noWrap w:val="0"/>
                  <w:vAlign w:val="center"/>
                </w:tcPr>
                <w:p>
                  <w:pPr>
                    <w:pStyle w:val="38"/>
                    <w:bidi w:val="0"/>
                    <w:rPr>
                      <w:rFonts w:hint="eastAsia"/>
                      <w:u w:val="single"/>
                      <w:lang w:val="zh-CN" w:eastAsia="zh-CN"/>
                    </w:rPr>
                  </w:pPr>
                  <w:r>
                    <w:rPr>
                      <w:rFonts w:hint="eastAsia"/>
                      <w:u w:val="single"/>
                    </w:rPr>
                    <w:t>10812</w:t>
                  </w:r>
                </w:p>
              </w:tc>
              <w:tc>
                <w:tcPr>
                  <w:tcW w:w="997" w:type="pct"/>
                  <w:shd w:val="clear" w:color="auto" w:fill="auto"/>
                  <w:noWrap/>
                  <w:vAlign w:val="center"/>
                </w:tcPr>
                <w:p>
                  <w:pPr>
                    <w:pStyle w:val="38"/>
                    <w:bidi w:val="0"/>
                    <w:rPr>
                      <w:rFonts w:hint="eastAsia"/>
                      <w:u w:val="single"/>
                      <w:lang w:val="zh-CN" w:eastAsia="zh-CN"/>
                    </w:rPr>
                  </w:pPr>
                  <w:r>
                    <w:rPr>
                      <w:rFonts w:hint="eastAsia"/>
                      <w:u w:val="single"/>
                    </w:rPr>
                    <w:t xml:space="preserve">7.03 </w:t>
                  </w:r>
                </w:p>
              </w:tc>
              <w:tc>
                <w:tcPr>
                  <w:tcW w:w="997" w:type="pct"/>
                  <w:shd w:val="clear" w:color="auto" w:fill="auto"/>
                  <w:noWrap/>
                  <w:vAlign w:val="center"/>
                </w:tcPr>
                <w:p>
                  <w:pPr>
                    <w:pStyle w:val="38"/>
                    <w:bidi w:val="0"/>
                    <w:rPr>
                      <w:rFonts w:hint="default" w:eastAsia="宋体"/>
                      <w:u w:val="single"/>
                      <w:lang w:val="en-US" w:eastAsia="zh-CN"/>
                    </w:rPr>
                  </w:pPr>
                  <w:r>
                    <w:rPr>
                      <w:rFonts w:hint="eastAsia"/>
                      <w:u w:val="single"/>
                      <w:lang w:val="en-US" w:eastAsia="zh-CN"/>
                    </w:rPr>
                    <w:t>14380</w:t>
                  </w:r>
                </w:p>
              </w:tc>
              <w:tc>
                <w:tcPr>
                  <w:tcW w:w="997" w:type="pct"/>
                  <w:shd w:val="clear" w:color="auto" w:fill="auto"/>
                  <w:noWrap/>
                  <w:vAlign w:val="center"/>
                </w:tcPr>
                <w:p>
                  <w:pPr>
                    <w:pStyle w:val="38"/>
                    <w:bidi w:val="0"/>
                    <w:rPr>
                      <w:rFonts w:hint="default" w:eastAsia="宋体"/>
                      <w:u w:val="single"/>
                      <w:lang w:val="en-US" w:eastAsia="zh-CN"/>
                    </w:rPr>
                  </w:pPr>
                  <w:r>
                    <w:rPr>
                      <w:rFonts w:hint="eastAsia"/>
                      <w:u w:val="single"/>
                      <w:lang w:val="en-US" w:eastAsia="zh-CN"/>
                    </w:rPr>
                    <w:t>10.78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0" w:type="dxa"/>
                  <w:shd w:val="clear" w:color="auto" w:fill="auto"/>
                  <w:noWrap/>
                  <w:vAlign w:val="center"/>
                </w:tcPr>
                <w:p>
                  <w:pPr>
                    <w:pStyle w:val="38"/>
                    <w:bidi w:val="0"/>
                    <w:ind w:firstLine="0" w:firstLineChars="0"/>
                    <w:rPr>
                      <w:rFonts w:hint="eastAsia" w:eastAsia="宋体"/>
                      <w:u w:val="single"/>
                      <w:lang w:val="en-US" w:eastAsia="zh-CN"/>
                    </w:rPr>
                  </w:pPr>
                  <w:r>
                    <w:rPr>
                      <w:rFonts w:hint="eastAsia"/>
                      <w:u w:val="single"/>
                      <w:lang w:val="en-US" w:eastAsia="zh-CN"/>
                    </w:rPr>
                    <w:t>10</w:t>
                  </w:r>
                </w:p>
              </w:tc>
              <w:tc>
                <w:tcPr>
                  <w:tcW w:w="716" w:type="pct"/>
                  <w:shd w:val="clear" w:color="auto" w:fill="auto"/>
                  <w:noWrap w:val="0"/>
                  <w:vAlign w:val="center"/>
                </w:tcPr>
                <w:p>
                  <w:pPr>
                    <w:pStyle w:val="38"/>
                    <w:bidi w:val="0"/>
                    <w:ind w:firstLine="0" w:firstLineChars="0"/>
                    <w:rPr>
                      <w:rFonts w:hint="eastAsia" w:eastAsia="宋体"/>
                      <w:u w:val="single"/>
                      <w:lang w:eastAsia="zh-CN"/>
                    </w:rPr>
                  </w:pPr>
                  <w:r>
                    <w:rPr>
                      <w:rFonts w:hint="eastAsia"/>
                      <w:u w:val="single"/>
                      <w:lang w:eastAsia="zh-CN"/>
                    </w:rPr>
                    <w:t>千工坪镇</w:t>
                  </w:r>
                </w:p>
              </w:tc>
              <w:tc>
                <w:tcPr>
                  <w:tcW w:w="840" w:type="pct"/>
                  <w:shd w:val="clear" w:color="auto" w:fill="auto"/>
                  <w:noWrap w:val="0"/>
                  <w:vAlign w:val="center"/>
                </w:tcPr>
                <w:p>
                  <w:pPr>
                    <w:pStyle w:val="38"/>
                    <w:bidi w:val="0"/>
                    <w:rPr>
                      <w:rFonts w:hint="eastAsia"/>
                      <w:u w:val="single"/>
                      <w:lang w:val="zh-CN" w:eastAsia="zh-CN"/>
                    </w:rPr>
                  </w:pPr>
                  <w:r>
                    <w:rPr>
                      <w:rFonts w:hint="eastAsia"/>
                      <w:u w:val="single"/>
                    </w:rPr>
                    <w:t>16030</w:t>
                  </w:r>
                </w:p>
              </w:tc>
              <w:tc>
                <w:tcPr>
                  <w:tcW w:w="997" w:type="pct"/>
                  <w:shd w:val="clear" w:color="auto" w:fill="auto"/>
                  <w:noWrap/>
                  <w:vAlign w:val="center"/>
                </w:tcPr>
                <w:p>
                  <w:pPr>
                    <w:pStyle w:val="38"/>
                    <w:bidi w:val="0"/>
                    <w:rPr>
                      <w:rFonts w:hint="eastAsia"/>
                      <w:u w:val="single"/>
                      <w:lang w:val="zh-CN" w:eastAsia="zh-CN"/>
                    </w:rPr>
                  </w:pPr>
                  <w:r>
                    <w:rPr>
                      <w:rFonts w:hint="eastAsia"/>
                      <w:u w:val="single"/>
                    </w:rPr>
                    <w:t xml:space="preserve">10.42 </w:t>
                  </w:r>
                </w:p>
              </w:tc>
              <w:tc>
                <w:tcPr>
                  <w:tcW w:w="997" w:type="pct"/>
                  <w:shd w:val="clear" w:color="auto" w:fill="auto"/>
                  <w:noWrap/>
                  <w:vAlign w:val="center"/>
                </w:tcPr>
                <w:p>
                  <w:pPr>
                    <w:pStyle w:val="38"/>
                    <w:bidi w:val="0"/>
                    <w:rPr>
                      <w:rFonts w:hint="default" w:eastAsia="宋体"/>
                      <w:u w:val="single"/>
                      <w:lang w:val="en-US" w:eastAsia="zh-CN"/>
                    </w:rPr>
                  </w:pPr>
                  <w:r>
                    <w:rPr>
                      <w:rFonts w:hint="eastAsia"/>
                      <w:u w:val="single"/>
                      <w:lang w:val="en-US" w:eastAsia="zh-CN"/>
                    </w:rPr>
                    <w:t>12320</w:t>
                  </w:r>
                </w:p>
              </w:tc>
              <w:tc>
                <w:tcPr>
                  <w:tcW w:w="997" w:type="pct"/>
                  <w:shd w:val="clear" w:color="auto" w:fill="auto"/>
                  <w:noWrap/>
                  <w:vAlign w:val="center"/>
                </w:tcPr>
                <w:p>
                  <w:pPr>
                    <w:pStyle w:val="38"/>
                    <w:bidi w:val="0"/>
                    <w:rPr>
                      <w:rFonts w:hint="default" w:eastAsia="宋体"/>
                      <w:u w:val="single"/>
                      <w:lang w:val="en-US" w:eastAsia="zh-CN"/>
                    </w:rPr>
                  </w:pPr>
                  <w:r>
                    <w:rPr>
                      <w:rFonts w:hint="eastAsia"/>
                      <w:u w:val="single"/>
                      <w:lang w:val="en-US" w:eastAsia="zh-CN"/>
                    </w:rPr>
                    <w:t>15.99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0" w:type="dxa"/>
                  <w:shd w:val="clear" w:color="auto" w:fill="auto"/>
                  <w:noWrap/>
                  <w:vAlign w:val="center"/>
                </w:tcPr>
                <w:p>
                  <w:pPr>
                    <w:pStyle w:val="38"/>
                    <w:bidi w:val="0"/>
                    <w:ind w:firstLine="0" w:firstLineChars="0"/>
                    <w:rPr>
                      <w:rFonts w:hint="default" w:eastAsia="宋体"/>
                      <w:u w:val="single"/>
                      <w:lang w:val="en-US" w:eastAsia="zh-CN"/>
                    </w:rPr>
                  </w:pPr>
                  <w:r>
                    <w:rPr>
                      <w:rFonts w:hint="eastAsia"/>
                      <w:u w:val="single"/>
                      <w:lang w:val="en-US" w:eastAsia="zh-CN"/>
                    </w:rPr>
                    <w:t>11</w:t>
                  </w:r>
                </w:p>
              </w:tc>
              <w:tc>
                <w:tcPr>
                  <w:tcW w:w="716" w:type="pct"/>
                  <w:shd w:val="clear" w:color="auto" w:fill="auto"/>
                  <w:noWrap w:val="0"/>
                  <w:vAlign w:val="center"/>
                </w:tcPr>
                <w:p>
                  <w:pPr>
                    <w:pStyle w:val="38"/>
                    <w:bidi w:val="0"/>
                    <w:ind w:firstLine="0" w:firstLineChars="0"/>
                    <w:rPr>
                      <w:rFonts w:hint="eastAsia"/>
                      <w:u w:val="single"/>
                      <w:lang w:eastAsia="zh-CN"/>
                    </w:rPr>
                  </w:pPr>
                  <w:r>
                    <w:rPr>
                      <w:rFonts w:hint="eastAsia"/>
                      <w:u w:val="single"/>
                      <w:lang w:eastAsia="zh-CN"/>
                    </w:rPr>
                    <w:t>山江镇</w:t>
                  </w:r>
                </w:p>
              </w:tc>
              <w:tc>
                <w:tcPr>
                  <w:tcW w:w="840" w:type="pct"/>
                  <w:shd w:val="clear" w:color="auto" w:fill="auto"/>
                  <w:noWrap w:val="0"/>
                  <w:vAlign w:val="center"/>
                </w:tcPr>
                <w:p>
                  <w:pPr>
                    <w:pStyle w:val="38"/>
                    <w:bidi w:val="0"/>
                    <w:rPr>
                      <w:rFonts w:hint="eastAsia"/>
                      <w:u w:val="single"/>
                      <w:lang w:val="zh-CN" w:eastAsia="zh-CN"/>
                    </w:rPr>
                  </w:pPr>
                  <w:r>
                    <w:rPr>
                      <w:rFonts w:hint="eastAsia"/>
                      <w:u w:val="single"/>
                    </w:rPr>
                    <w:t>20957</w:t>
                  </w:r>
                </w:p>
              </w:tc>
              <w:tc>
                <w:tcPr>
                  <w:tcW w:w="997" w:type="pct"/>
                  <w:shd w:val="clear" w:color="auto" w:fill="auto"/>
                  <w:noWrap/>
                  <w:vAlign w:val="center"/>
                </w:tcPr>
                <w:p>
                  <w:pPr>
                    <w:pStyle w:val="38"/>
                    <w:bidi w:val="0"/>
                    <w:rPr>
                      <w:rFonts w:hint="eastAsia"/>
                      <w:u w:val="single"/>
                      <w:lang w:val="zh-CN" w:eastAsia="zh-CN"/>
                    </w:rPr>
                  </w:pPr>
                  <w:r>
                    <w:rPr>
                      <w:rFonts w:hint="eastAsia"/>
                      <w:u w:val="single"/>
                    </w:rPr>
                    <w:t xml:space="preserve">13.62 </w:t>
                  </w:r>
                </w:p>
              </w:tc>
              <w:tc>
                <w:tcPr>
                  <w:tcW w:w="997" w:type="pct"/>
                  <w:shd w:val="clear" w:color="auto" w:fill="auto"/>
                  <w:noWrap/>
                  <w:vAlign w:val="center"/>
                </w:tcPr>
                <w:p>
                  <w:pPr>
                    <w:pStyle w:val="38"/>
                    <w:bidi w:val="0"/>
                    <w:rPr>
                      <w:rFonts w:hint="default" w:eastAsia="宋体"/>
                      <w:u w:val="single"/>
                      <w:lang w:val="en-US" w:eastAsia="zh-CN"/>
                    </w:rPr>
                  </w:pPr>
                  <w:r>
                    <w:rPr>
                      <w:rFonts w:hint="eastAsia"/>
                      <w:u w:val="single"/>
                      <w:lang w:val="en-US" w:eastAsia="zh-CN"/>
                    </w:rPr>
                    <w:t>27873</w:t>
                  </w:r>
                </w:p>
              </w:tc>
              <w:tc>
                <w:tcPr>
                  <w:tcW w:w="997" w:type="pct"/>
                  <w:shd w:val="clear" w:color="auto" w:fill="auto"/>
                  <w:noWrap/>
                  <w:vAlign w:val="center"/>
                </w:tcPr>
                <w:p>
                  <w:pPr>
                    <w:pStyle w:val="38"/>
                    <w:bidi w:val="0"/>
                    <w:rPr>
                      <w:rFonts w:hint="default" w:eastAsia="宋体"/>
                      <w:u w:val="single"/>
                      <w:lang w:val="en-US" w:eastAsia="zh-CN"/>
                    </w:rPr>
                  </w:pPr>
                  <w:r>
                    <w:rPr>
                      <w:rFonts w:hint="eastAsia"/>
                      <w:u w:val="single"/>
                      <w:lang w:val="en-US" w:eastAsia="zh-CN"/>
                    </w:rPr>
                    <w:t>20.90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0" w:type="dxa"/>
                  <w:shd w:val="clear" w:color="auto" w:fill="auto"/>
                  <w:noWrap/>
                  <w:vAlign w:val="center"/>
                </w:tcPr>
                <w:p>
                  <w:pPr>
                    <w:pStyle w:val="38"/>
                    <w:bidi w:val="0"/>
                    <w:ind w:firstLine="0" w:firstLineChars="0"/>
                    <w:rPr>
                      <w:rFonts w:hint="default" w:eastAsia="宋体"/>
                      <w:u w:val="single"/>
                      <w:lang w:val="en-US" w:eastAsia="zh-CN"/>
                    </w:rPr>
                  </w:pPr>
                  <w:r>
                    <w:rPr>
                      <w:rFonts w:hint="eastAsia"/>
                      <w:u w:val="single"/>
                      <w:lang w:val="en-US" w:eastAsia="zh-CN"/>
                    </w:rPr>
                    <w:t>12</w:t>
                  </w:r>
                </w:p>
              </w:tc>
              <w:tc>
                <w:tcPr>
                  <w:tcW w:w="716" w:type="pct"/>
                  <w:shd w:val="clear" w:color="auto" w:fill="auto"/>
                  <w:noWrap w:val="0"/>
                  <w:vAlign w:val="center"/>
                </w:tcPr>
                <w:p>
                  <w:pPr>
                    <w:pStyle w:val="38"/>
                    <w:bidi w:val="0"/>
                    <w:rPr>
                      <w:rFonts w:hint="eastAsia"/>
                      <w:u w:val="single"/>
                    </w:rPr>
                  </w:pPr>
                  <w:r>
                    <w:rPr>
                      <w:rFonts w:hint="eastAsia"/>
                      <w:u w:val="single"/>
                    </w:rPr>
                    <w:t>麻冲乡</w:t>
                  </w:r>
                </w:p>
              </w:tc>
              <w:tc>
                <w:tcPr>
                  <w:tcW w:w="840" w:type="pct"/>
                  <w:shd w:val="clear" w:color="auto" w:fill="auto"/>
                  <w:noWrap w:val="0"/>
                  <w:vAlign w:val="center"/>
                </w:tcPr>
                <w:p>
                  <w:pPr>
                    <w:pStyle w:val="38"/>
                    <w:bidi w:val="0"/>
                    <w:rPr>
                      <w:rFonts w:hint="eastAsia"/>
                      <w:u w:val="single"/>
                    </w:rPr>
                  </w:pPr>
                  <w:r>
                    <w:rPr>
                      <w:rFonts w:hint="eastAsia"/>
                      <w:u w:val="single"/>
                    </w:rPr>
                    <w:t>41101</w:t>
                  </w:r>
                </w:p>
              </w:tc>
              <w:tc>
                <w:tcPr>
                  <w:tcW w:w="997" w:type="pct"/>
                  <w:shd w:val="clear" w:color="auto" w:fill="auto"/>
                  <w:noWrap/>
                  <w:vAlign w:val="center"/>
                </w:tcPr>
                <w:p>
                  <w:pPr>
                    <w:pStyle w:val="38"/>
                    <w:bidi w:val="0"/>
                    <w:rPr>
                      <w:rFonts w:hint="eastAsia"/>
                      <w:u w:val="single"/>
                    </w:rPr>
                  </w:pPr>
                  <w:r>
                    <w:rPr>
                      <w:rFonts w:hint="eastAsia"/>
                      <w:u w:val="single"/>
                    </w:rPr>
                    <w:t xml:space="preserve">26.72 </w:t>
                  </w:r>
                </w:p>
              </w:tc>
              <w:tc>
                <w:tcPr>
                  <w:tcW w:w="997" w:type="pct"/>
                  <w:shd w:val="clear" w:color="auto" w:fill="auto"/>
                  <w:noWrap/>
                  <w:vAlign w:val="center"/>
                </w:tcPr>
                <w:p>
                  <w:pPr>
                    <w:pStyle w:val="38"/>
                    <w:bidi w:val="0"/>
                    <w:rPr>
                      <w:rFonts w:hint="default" w:eastAsia="宋体"/>
                      <w:u w:val="single"/>
                      <w:lang w:val="en-US" w:eastAsia="zh-CN"/>
                    </w:rPr>
                  </w:pPr>
                  <w:r>
                    <w:rPr>
                      <w:rFonts w:hint="eastAsia"/>
                      <w:u w:val="single"/>
                      <w:lang w:val="en-US" w:eastAsia="zh-CN"/>
                    </w:rPr>
                    <w:t>54668</w:t>
                  </w:r>
                </w:p>
              </w:tc>
              <w:tc>
                <w:tcPr>
                  <w:tcW w:w="997" w:type="pct"/>
                  <w:shd w:val="clear" w:color="auto" w:fill="auto"/>
                  <w:noWrap/>
                  <w:vAlign w:val="center"/>
                </w:tcPr>
                <w:p>
                  <w:pPr>
                    <w:pStyle w:val="38"/>
                    <w:bidi w:val="0"/>
                    <w:rPr>
                      <w:rFonts w:hint="default" w:eastAsia="宋体"/>
                      <w:u w:val="single"/>
                      <w:lang w:val="en-US" w:eastAsia="zh-CN"/>
                    </w:rPr>
                  </w:pPr>
                  <w:r>
                    <w:rPr>
                      <w:rFonts w:hint="eastAsia"/>
                      <w:u w:val="singl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68" w:type="pct"/>
                  <w:gridSpan w:val="2"/>
                  <w:shd w:val="clear" w:color="auto" w:fill="auto"/>
                  <w:noWrap w:val="0"/>
                  <w:vAlign w:val="center"/>
                </w:tcPr>
                <w:p>
                  <w:pPr>
                    <w:pStyle w:val="38"/>
                    <w:bidi w:val="0"/>
                    <w:rPr>
                      <w:rFonts w:hint="eastAsia"/>
                      <w:u w:val="single"/>
                    </w:rPr>
                  </w:pPr>
                  <w:r>
                    <w:rPr>
                      <w:rFonts w:hint="eastAsia"/>
                      <w:u w:val="single"/>
                    </w:rPr>
                    <w:t>合计</w:t>
                  </w:r>
                </w:p>
              </w:tc>
              <w:tc>
                <w:tcPr>
                  <w:tcW w:w="840" w:type="pct"/>
                  <w:shd w:val="clear" w:color="auto" w:fill="auto"/>
                  <w:noWrap/>
                  <w:vAlign w:val="center"/>
                </w:tcPr>
                <w:p>
                  <w:pPr>
                    <w:pStyle w:val="38"/>
                    <w:bidi w:val="0"/>
                    <w:rPr>
                      <w:rFonts w:hint="default"/>
                      <w:u w:val="single"/>
                      <w:lang w:val="en-US" w:eastAsia="zh-CN"/>
                    </w:rPr>
                  </w:pPr>
                  <w:r>
                    <w:rPr>
                      <w:rFonts w:hint="eastAsia"/>
                      <w:u w:val="single"/>
                      <w:lang w:val="en-US" w:eastAsia="zh-CN"/>
                    </w:rPr>
                    <w:t>214454</w:t>
                  </w:r>
                </w:p>
              </w:tc>
              <w:tc>
                <w:tcPr>
                  <w:tcW w:w="997" w:type="pct"/>
                  <w:shd w:val="clear" w:color="auto" w:fill="auto"/>
                  <w:noWrap/>
                  <w:vAlign w:val="center"/>
                </w:tcPr>
                <w:p>
                  <w:pPr>
                    <w:pStyle w:val="38"/>
                    <w:bidi w:val="0"/>
                    <w:rPr>
                      <w:rFonts w:hint="default"/>
                      <w:u w:val="single"/>
                      <w:lang w:val="en-US" w:eastAsia="zh-CN"/>
                    </w:rPr>
                  </w:pPr>
                  <w:r>
                    <w:rPr>
                      <w:rFonts w:hint="eastAsia"/>
                      <w:u w:val="single"/>
                      <w:lang w:val="en-US" w:eastAsia="zh-CN"/>
                    </w:rPr>
                    <w:t>289.41</w:t>
                  </w:r>
                </w:p>
              </w:tc>
              <w:tc>
                <w:tcPr>
                  <w:tcW w:w="997" w:type="pct"/>
                  <w:shd w:val="clear" w:color="auto" w:fill="auto"/>
                  <w:noWrap/>
                  <w:vAlign w:val="center"/>
                </w:tcPr>
                <w:p>
                  <w:pPr>
                    <w:pStyle w:val="38"/>
                    <w:bidi w:val="0"/>
                    <w:rPr>
                      <w:rFonts w:hint="default"/>
                      <w:u w:val="single"/>
                      <w:lang w:val="en-US" w:eastAsia="zh-CN"/>
                    </w:rPr>
                  </w:pPr>
                  <w:r>
                    <w:rPr>
                      <w:rFonts w:hint="eastAsia"/>
                      <w:u w:val="single"/>
                      <w:lang w:val="en-US" w:eastAsia="zh-CN"/>
                    </w:rPr>
                    <w:t>276226</w:t>
                  </w:r>
                </w:p>
              </w:tc>
              <w:tc>
                <w:tcPr>
                  <w:tcW w:w="997" w:type="pct"/>
                  <w:shd w:val="clear" w:color="auto" w:fill="auto"/>
                  <w:noWrap/>
                  <w:vAlign w:val="center"/>
                </w:tcPr>
                <w:p>
                  <w:pPr>
                    <w:pStyle w:val="38"/>
                    <w:bidi w:val="0"/>
                    <w:rPr>
                      <w:rFonts w:hint="default"/>
                      <w:u w:val="single"/>
                      <w:lang w:val="en-US" w:eastAsia="zh-CN"/>
                    </w:rPr>
                  </w:pPr>
                  <w:r>
                    <w:rPr>
                      <w:rFonts w:hint="eastAsia"/>
                      <w:u w:val="single"/>
                      <w:lang w:val="en-US" w:eastAsia="zh-CN"/>
                    </w:rPr>
                    <w:t>387.01</w:t>
                  </w:r>
                </w:p>
              </w:tc>
            </w:tr>
          </w:tbl>
          <w:p>
            <w:pPr>
              <w:bidi w:val="0"/>
              <w:rPr>
                <w:rFonts w:hint="default"/>
                <w:u w:val="single"/>
                <w:lang w:val="en-US" w:eastAsia="zh-CN"/>
              </w:rPr>
            </w:pPr>
            <w:r>
              <w:rPr>
                <w:rFonts w:hint="eastAsia"/>
                <w:u w:val="single"/>
                <w:lang w:eastAsia="zh-CN"/>
              </w:rPr>
              <w:t>根据垃圾预测情况，本项目设计垃圾转运量</w:t>
            </w:r>
            <w:r>
              <w:rPr>
                <w:rFonts w:hint="eastAsia"/>
                <w:u w:val="single"/>
                <w:lang w:val="en-US" w:eastAsia="zh-CN"/>
              </w:rPr>
              <w:t>400t/d。</w:t>
            </w:r>
          </w:p>
          <w:p>
            <w:pPr>
              <w:bidi w:val="0"/>
              <w:rPr>
                <w:rFonts w:hint="eastAsia" w:ascii="Arial" w:hAnsi="Arial" w:cs="Arial"/>
                <w:u w:val="single"/>
                <w:lang w:val="en-US" w:eastAsia="zh-CN"/>
              </w:rPr>
            </w:pPr>
            <w:r>
              <w:rPr>
                <w:rFonts w:hint="eastAsia"/>
                <w:u w:val="single"/>
                <w:lang w:eastAsia="zh-CN"/>
              </w:rPr>
              <w:t>①沱江镇、水打田乡和林峰乡</w:t>
            </w:r>
            <w:r>
              <w:rPr>
                <w:rFonts w:hint="eastAsia"/>
                <w:u w:val="single"/>
                <w:lang w:val="en-US" w:eastAsia="zh-CN"/>
              </w:rPr>
              <w:t>3个乡镇由村组垃圾点收集</w:t>
            </w:r>
            <w:r>
              <w:rPr>
                <w:rFonts w:hint="default" w:ascii="Arial" w:hAnsi="Arial" w:cs="Arial"/>
                <w:u w:val="single"/>
                <w:lang w:val="en-US" w:eastAsia="zh-CN"/>
              </w:rPr>
              <w:t>→</w:t>
            </w:r>
            <w:r>
              <w:rPr>
                <w:rFonts w:hint="eastAsia" w:ascii="Arial" w:hAnsi="Arial" w:cs="Arial"/>
                <w:u w:val="single"/>
                <w:lang w:val="en-US" w:eastAsia="zh-CN"/>
              </w:rPr>
              <w:t>运至高峰垃圾转运站压缩</w:t>
            </w:r>
            <w:r>
              <w:rPr>
                <w:rFonts w:hint="default" w:ascii="Arial" w:hAnsi="Arial" w:cs="Arial"/>
                <w:u w:val="single"/>
                <w:lang w:val="en-US" w:eastAsia="zh-CN"/>
              </w:rPr>
              <w:t>→</w:t>
            </w:r>
            <w:r>
              <w:rPr>
                <w:rFonts w:hint="eastAsia" w:ascii="Arial" w:hAnsi="Arial" w:cs="Arial"/>
                <w:u w:val="single"/>
                <w:lang w:val="en-US" w:eastAsia="zh-CN"/>
              </w:rPr>
              <w:t>转运至吉首市垃圾焚烧发电厂。</w:t>
            </w:r>
          </w:p>
          <w:p>
            <w:pPr>
              <w:bidi w:val="0"/>
              <w:rPr>
                <w:rFonts w:hint="default"/>
                <w:lang w:val="en-US" w:eastAsia="zh-CN"/>
              </w:rPr>
            </w:pPr>
            <w:r>
              <w:rPr>
                <w:rFonts w:hint="eastAsia"/>
                <w:u w:val="single"/>
                <w:lang w:val="en-US" w:eastAsia="zh-CN"/>
              </w:rPr>
              <w:t>②廖家桥镇、阿拉营镇、新场镇、落潮井镇、茶田镇、千工坪镇、山江镇、麻冲乡8个乡镇由村组垃圾点收集</w:t>
            </w:r>
            <w:r>
              <w:rPr>
                <w:rFonts w:hint="default" w:ascii="Arial" w:hAnsi="Arial" w:cs="Arial"/>
                <w:u w:val="single"/>
                <w:lang w:val="en-US" w:eastAsia="zh-CN"/>
              </w:rPr>
              <w:t>→</w:t>
            </w:r>
            <w:r>
              <w:rPr>
                <w:rFonts w:hint="eastAsia" w:ascii="Arial" w:hAnsi="Arial" w:cs="Arial"/>
                <w:u w:val="single"/>
                <w:lang w:val="en-US" w:eastAsia="zh-CN"/>
              </w:rPr>
              <w:t>运至乡镇中转站压缩</w:t>
            </w:r>
            <w:r>
              <w:rPr>
                <w:rFonts w:hint="default" w:ascii="Arial" w:hAnsi="Arial" w:cs="Arial"/>
                <w:u w:val="single"/>
                <w:lang w:val="en-US" w:eastAsia="zh-CN"/>
              </w:rPr>
              <w:t>→</w:t>
            </w:r>
            <w:r>
              <w:rPr>
                <w:rFonts w:hint="eastAsia" w:ascii="Arial" w:hAnsi="Arial" w:cs="Arial"/>
                <w:u w:val="single"/>
                <w:lang w:val="en-US" w:eastAsia="zh-CN"/>
              </w:rPr>
              <w:t>再转运至高峰垃圾转运站二次压缩</w:t>
            </w:r>
            <w:r>
              <w:rPr>
                <w:rFonts w:hint="default" w:ascii="Arial" w:hAnsi="Arial" w:cs="Arial"/>
                <w:u w:val="single"/>
                <w:lang w:val="en-US" w:eastAsia="zh-CN"/>
              </w:rPr>
              <w:t>→</w:t>
            </w:r>
            <w:r>
              <w:rPr>
                <w:rFonts w:hint="eastAsia" w:ascii="Arial" w:hAnsi="Arial" w:cs="Arial"/>
                <w:u w:val="single"/>
                <w:lang w:val="en-US" w:eastAsia="zh-CN"/>
              </w:rPr>
              <w:t>二次转运至吉首市垃圾焚烧发电厂。</w:t>
            </w:r>
          </w:p>
          <w:p>
            <w:pPr>
              <w:bidi w:val="0"/>
              <w:rPr>
                <w:u w:val="single"/>
              </w:rPr>
            </w:pPr>
            <w:r>
              <w:rPr>
                <w:u w:val="single"/>
              </w:rPr>
              <w:t>（</w:t>
            </w:r>
            <w:r>
              <w:rPr>
                <w:rFonts w:hint="eastAsia"/>
                <w:u w:val="single"/>
                <w:lang w:val="en-US" w:eastAsia="zh-CN"/>
              </w:rPr>
              <w:t>5</w:t>
            </w:r>
            <w:r>
              <w:rPr>
                <w:u w:val="single"/>
              </w:rPr>
              <w:t>）主要生产设备</w:t>
            </w:r>
          </w:p>
          <w:p>
            <w:pPr>
              <w:adjustRightInd w:val="0"/>
              <w:snapToGrid w:val="0"/>
              <w:spacing w:line="360" w:lineRule="auto"/>
              <w:ind w:firstLine="480" w:firstLineChars="200"/>
              <w:rPr>
                <w:u w:val="single"/>
              </w:rPr>
            </w:pPr>
            <w:r>
              <w:rPr>
                <w:u w:val="single"/>
              </w:rPr>
              <w:t>项目主要设备设施情况如表</w:t>
            </w:r>
            <w:r>
              <w:rPr>
                <w:rFonts w:hint="eastAsia"/>
                <w:u w:val="single"/>
                <w:lang w:val="en-US" w:eastAsia="zh-CN"/>
              </w:rPr>
              <w:t>2-4</w:t>
            </w:r>
            <w:r>
              <w:rPr>
                <w:u w:val="single"/>
              </w:rPr>
              <w:t>所示。</w:t>
            </w:r>
          </w:p>
          <w:p>
            <w:pPr>
              <w:adjustRightInd w:val="0"/>
              <w:snapToGrid w:val="0"/>
              <w:spacing w:line="360" w:lineRule="auto"/>
              <w:jc w:val="center"/>
              <w:rPr>
                <w:u w:val="single"/>
              </w:rPr>
            </w:pPr>
            <w:r>
              <w:rPr>
                <w:u w:val="single"/>
              </w:rPr>
              <w:t>表</w:t>
            </w:r>
            <w:r>
              <w:rPr>
                <w:rFonts w:hint="eastAsia"/>
                <w:u w:val="single"/>
                <w:lang w:val="en-US" w:eastAsia="zh-CN"/>
              </w:rPr>
              <w:t>2-4</w:t>
            </w:r>
            <w:r>
              <w:rPr>
                <w:u w:val="single"/>
              </w:rPr>
              <w:t xml:space="preserve"> 主要生产设备清单</w:t>
            </w:r>
          </w:p>
          <w:tbl>
            <w:tblPr>
              <w:tblStyle w:val="31"/>
              <w:tblW w:w="499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3"/>
              <w:gridCol w:w="2182"/>
              <w:gridCol w:w="733"/>
              <w:gridCol w:w="667"/>
              <w:gridCol w:w="1466"/>
              <w:gridCol w:w="21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7" w:type="pct"/>
                  <w:noWrap w:val="0"/>
                  <w:vAlign w:val="center"/>
                </w:tcPr>
                <w:p>
                  <w:pPr>
                    <w:pStyle w:val="47"/>
                    <w:rPr>
                      <w:u w:val="single"/>
                    </w:rPr>
                  </w:pPr>
                  <w:r>
                    <w:rPr>
                      <w:u w:val="single"/>
                    </w:rPr>
                    <w:t>序号</w:t>
                  </w:r>
                </w:p>
              </w:tc>
              <w:tc>
                <w:tcPr>
                  <w:tcW w:w="1382" w:type="pct"/>
                  <w:noWrap w:val="0"/>
                  <w:vAlign w:val="center"/>
                </w:tcPr>
                <w:p>
                  <w:pPr>
                    <w:pStyle w:val="47"/>
                    <w:rPr>
                      <w:u w:val="single"/>
                    </w:rPr>
                  </w:pPr>
                  <w:r>
                    <w:rPr>
                      <w:u w:val="single"/>
                    </w:rPr>
                    <w:t>设备</w:t>
                  </w:r>
                </w:p>
              </w:tc>
              <w:tc>
                <w:tcPr>
                  <w:tcW w:w="464" w:type="pct"/>
                  <w:noWrap w:val="0"/>
                  <w:vAlign w:val="center"/>
                </w:tcPr>
                <w:p>
                  <w:pPr>
                    <w:pStyle w:val="47"/>
                    <w:rPr>
                      <w:u w:val="single"/>
                    </w:rPr>
                  </w:pPr>
                  <w:r>
                    <w:rPr>
                      <w:u w:val="single"/>
                    </w:rPr>
                    <w:t>数量</w:t>
                  </w:r>
                </w:p>
              </w:tc>
              <w:tc>
                <w:tcPr>
                  <w:tcW w:w="422" w:type="pct"/>
                  <w:noWrap w:val="0"/>
                  <w:vAlign w:val="center"/>
                </w:tcPr>
                <w:p>
                  <w:pPr>
                    <w:pStyle w:val="47"/>
                    <w:rPr>
                      <w:u w:val="single"/>
                    </w:rPr>
                  </w:pPr>
                  <w:r>
                    <w:rPr>
                      <w:u w:val="single"/>
                    </w:rPr>
                    <w:t>单位</w:t>
                  </w:r>
                </w:p>
              </w:tc>
              <w:tc>
                <w:tcPr>
                  <w:tcW w:w="929" w:type="pct"/>
                  <w:noWrap w:val="0"/>
                  <w:vAlign w:val="center"/>
                </w:tcPr>
                <w:p>
                  <w:pPr>
                    <w:pStyle w:val="47"/>
                    <w:rPr>
                      <w:u w:val="single"/>
                    </w:rPr>
                  </w:pPr>
                  <w:r>
                    <w:rPr>
                      <w:u w:val="single"/>
                    </w:rPr>
                    <w:t>规格</w:t>
                  </w:r>
                </w:p>
              </w:tc>
              <w:tc>
                <w:tcPr>
                  <w:tcW w:w="1393" w:type="pct"/>
                  <w:noWrap w:val="0"/>
                  <w:vAlign w:val="center"/>
                </w:tcPr>
                <w:p>
                  <w:pPr>
                    <w:pStyle w:val="47"/>
                    <w:rPr>
                      <w:rFonts w:hint="eastAsia" w:eastAsia="宋体"/>
                      <w:u w:val="single"/>
                      <w:lang w:eastAsia="zh-CN"/>
                    </w:rPr>
                  </w:pPr>
                  <w:r>
                    <w:rPr>
                      <w:rFonts w:hint="eastAsia"/>
                      <w:u w:val="single"/>
                      <w:lang w:eastAsia="zh-CN"/>
                    </w:rPr>
                    <w:t>参数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000" w:type="pct"/>
                  <w:gridSpan w:val="6"/>
                  <w:noWrap w:val="0"/>
                  <w:vAlign w:val="center"/>
                </w:tcPr>
                <w:p>
                  <w:pPr>
                    <w:pStyle w:val="47"/>
                    <w:rPr>
                      <w:rFonts w:hint="eastAsia"/>
                      <w:u w:val="single"/>
                      <w:lang w:eastAsia="zh-CN"/>
                    </w:rPr>
                  </w:pPr>
                  <w:r>
                    <w:rPr>
                      <w:rFonts w:hint="eastAsia"/>
                      <w:u w:val="single"/>
                      <w:lang w:eastAsia="zh-CN"/>
                    </w:rPr>
                    <w:t>高峰垃圾转运站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07" w:type="pct"/>
                  <w:noWrap w:val="0"/>
                  <w:vAlign w:val="center"/>
                </w:tcPr>
                <w:p>
                  <w:pPr>
                    <w:pStyle w:val="47"/>
                    <w:rPr>
                      <w:u w:val="single"/>
                    </w:rPr>
                  </w:pPr>
                  <w:r>
                    <w:rPr>
                      <w:u w:val="single"/>
                    </w:rPr>
                    <w:t>1</w:t>
                  </w:r>
                </w:p>
              </w:tc>
              <w:tc>
                <w:tcPr>
                  <w:tcW w:w="1382" w:type="pct"/>
                  <w:noWrap w:val="0"/>
                  <w:vAlign w:val="center"/>
                </w:tcPr>
                <w:p>
                  <w:pPr>
                    <w:pStyle w:val="47"/>
                    <w:rPr>
                      <w:u w:val="single"/>
                    </w:rPr>
                  </w:pPr>
                  <w:r>
                    <w:rPr>
                      <w:u w:val="single"/>
                    </w:rPr>
                    <w:t>变压器</w:t>
                  </w:r>
                </w:p>
              </w:tc>
              <w:tc>
                <w:tcPr>
                  <w:tcW w:w="464" w:type="pct"/>
                  <w:noWrap w:val="0"/>
                  <w:vAlign w:val="center"/>
                </w:tcPr>
                <w:p>
                  <w:pPr>
                    <w:pStyle w:val="38"/>
                    <w:bidi w:val="0"/>
                    <w:rPr>
                      <w:u w:val="single"/>
                    </w:rPr>
                  </w:pPr>
                  <w:r>
                    <w:rPr>
                      <w:rFonts w:hint="eastAsia"/>
                      <w:u w:val="single"/>
                    </w:rPr>
                    <w:t>2</w:t>
                  </w:r>
                </w:p>
              </w:tc>
              <w:tc>
                <w:tcPr>
                  <w:tcW w:w="422" w:type="pct"/>
                  <w:noWrap w:val="0"/>
                  <w:vAlign w:val="center"/>
                </w:tcPr>
                <w:p>
                  <w:pPr>
                    <w:pStyle w:val="38"/>
                    <w:bidi w:val="0"/>
                    <w:rPr>
                      <w:u w:val="single"/>
                    </w:rPr>
                  </w:pPr>
                  <w:r>
                    <w:rPr>
                      <w:rFonts w:hint="eastAsia"/>
                      <w:u w:val="single"/>
                    </w:rPr>
                    <w:t>台</w:t>
                  </w:r>
                </w:p>
              </w:tc>
              <w:tc>
                <w:tcPr>
                  <w:tcW w:w="929" w:type="pct"/>
                  <w:noWrap w:val="0"/>
                  <w:vAlign w:val="center"/>
                </w:tcPr>
                <w:p>
                  <w:pPr>
                    <w:pStyle w:val="47"/>
                    <w:rPr>
                      <w:u w:val="single"/>
                    </w:rPr>
                  </w:pPr>
                  <w:r>
                    <w:rPr>
                      <w:rFonts w:hint="eastAsia"/>
                      <w:u w:val="single"/>
                    </w:rPr>
                    <w:t>/</w:t>
                  </w:r>
                </w:p>
              </w:tc>
              <w:tc>
                <w:tcPr>
                  <w:tcW w:w="1393" w:type="pct"/>
                  <w:noWrap w:val="0"/>
                  <w:vAlign w:val="center"/>
                </w:tcPr>
                <w:p>
                  <w:pPr>
                    <w:pStyle w:val="47"/>
                    <w:rPr>
                      <w:u w:val="single"/>
                    </w:rPr>
                  </w:pPr>
                  <w:r>
                    <w:rPr>
                      <w:rFonts w:hint="eastAsia"/>
                      <w:u w:val="singl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07" w:type="pct"/>
                  <w:noWrap w:val="0"/>
                  <w:vAlign w:val="center"/>
                </w:tcPr>
                <w:p>
                  <w:pPr>
                    <w:pStyle w:val="47"/>
                    <w:rPr>
                      <w:u w:val="single"/>
                    </w:rPr>
                  </w:pPr>
                  <w:r>
                    <w:rPr>
                      <w:u w:val="single"/>
                    </w:rPr>
                    <w:t>2</w:t>
                  </w:r>
                </w:p>
              </w:tc>
              <w:tc>
                <w:tcPr>
                  <w:tcW w:w="1382" w:type="pct"/>
                  <w:noWrap w:val="0"/>
                  <w:vAlign w:val="center"/>
                </w:tcPr>
                <w:p>
                  <w:pPr>
                    <w:pStyle w:val="38"/>
                    <w:bidi w:val="0"/>
                    <w:rPr>
                      <w:u w:val="single"/>
                    </w:rPr>
                  </w:pPr>
                  <w:r>
                    <w:rPr>
                      <w:rFonts w:hint="eastAsia"/>
                      <w:u w:val="single"/>
                    </w:rPr>
                    <w:t>水平直压式压缩机</w:t>
                  </w:r>
                </w:p>
              </w:tc>
              <w:tc>
                <w:tcPr>
                  <w:tcW w:w="464" w:type="pct"/>
                  <w:noWrap w:val="0"/>
                  <w:vAlign w:val="center"/>
                </w:tcPr>
                <w:p>
                  <w:pPr>
                    <w:pStyle w:val="38"/>
                    <w:bidi w:val="0"/>
                    <w:rPr>
                      <w:u w:val="single"/>
                    </w:rPr>
                  </w:pPr>
                  <w:r>
                    <w:rPr>
                      <w:rFonts w:hint="eastAsia"/>
                      <w:u w:val="single"/>
                    </w:rPr>
                    <w:t>2</w:t>
                  </w:r>
                </w:p>
              </w:tc>
              <w:tc>
                <w:tcPr>
                  <w:tcW w:w="422" w:type="pct"/>
                  <w:noWrap w:val="0"/>
                  <w:vAlign w:val="center"/>
                </w:tcPr>
                <w:p>
                  <w:pPr>
                    <w:pStyle w:val="38"/>
                    <w:bidi w:val="0"/>
                    <w:rPr>
                      <w:u w:val="single"/>
                    </w:rPr>
                  </w:pPr>
                  <w:r>
                    <w:rPr>
                      <w:rFonts w:hint="eastAsia"/>
                      <w:u w:val="single"/>
                    </w:rPr>
                    <w:t>个</w:t>
                  </w:r>
                </w:p>
              </w:tc>
              <w:tc>
                <w:tcPr>
                  <w:tcW w:w="929" w:type="pct"/>
                  <w:noWrap w:val="0"/>
                  <w:vAlign w:val="center"/>
                </w:tcPr>
                <w:p>
                  <w:pPr>
                    <w:pStyle w:val="47"/>
                    <w:rPr>
                      <w:rFonts w:hint="default"/>
                      <w:u w:val="single"/>
                      <w:lang w:val="en-US" w:eastAsia="zh-CN"/>
                    </w:rPr>
                  </w:pPr>
                  <w:r>
                    <w:rPr>
                      <w:rFonts w:hint="eastAsia"/>
                      <w:u w:val="single"/>
                      <w:lang w:val="en-US" w:eastAsia="zh-CN"/>
                    </w:rPr>
                    <w:t>LYS60</w:t>
                  </w:r>
                </w:p>
              </w:tc>
              <w:tc>
                <w:tcPr>
                  <w:tcW w:w="1393" w:type="pct"/>
                  <w:noWrap w:val="0"/>
                  <w:vAlign w:val="center"/>
                </w:tcPr>
                <w:p>
                  <w:pPr>
                    <w:pStyle w:val="47"/>
                    <w:rPr>
                      <w:rFonts w:hint="default" w:eastAsia="宋体"/>
                      <w:u w:val="single"/>
                      <w:lang w:val="en-US" w:eastAsia="zh-CN"/>
                    </w:rPr>
                  </w:pPr>
                  <w:r>
                    <w:rPr>
                      <w:rFonts w:hint="eastAsia"/>
                      <w:u w:val="single"/>
                      <w:lang w:val="en-US" w:eastAsia="zh-CN"/>
                    </w:rPr>
                    <w:t>60t/h</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07" w:type="pct"/>
                  <w:noWrap w:val="0"/>
                  <w:vAlign w:val="center"/>
                </w:tcPr>
                <w:p>
                  <w:pPr>
                    <w:pStyle w:val="47"/>
                    <w:rPr>
                      <w:u w:val="single"/>
                    </w:rPr>
                  </w:pPr>
                  <w:r>
                    <w:rPr>
                      <w:u w:val="single"/>
                    </w:rPr>
                    <w:t>3</w:t>
                  </w:r>
                </w:p>
              </w:tc>
              <w:tc>
                <w:tcPr>
                  <w:tcW w:w="1382" w:type="pct"/>
                  <w:noWrap w:val="0"/>
                  <w:vAlign w:val="center"/>
                </w:tcPr>
                <w:p>
                  <w:pPr>
                    <w:pStyle w:val="38"/>
                    <w:bidi w:val="0"/>
                    <w:rPr>
                      <w:u w:val="single"/>
                    </w:rPr>
                  </w:pPr>
                  <w:r>
                    <w:rPr>
                      <w:rFonts w:hint="eastAsia"/>
                      <w:u w:val="single"/>
                    </w:rPr>
                    <w:t>移箱平台</w:t>
                  </w:r>
                </w:p>
              </w:tc>
              <w:tc>
                <w:tcPr>
                  <w:tcW w:w="464" w:type="pct"/>
                  <w:noWrap w:val="0"/>
                  <w:vAlign w:val="center"/>
                </w:tcPr>
                <w:p>
                  <w:pPr>
                    <w:pStyle w:val="38"/>
                    <w:bidi w:val="0"/>
                    <w:rPr>
                      <w:u w:val="single"/>
                    </w:rPr>
                  </w:pPr>
                  <w:r>
                    <w:rPr>
                      <w:rFonts w:hint="eastAsia"/>
                      <w:u w:val="single"/>
                    </w:rPr>
                    <w:t>1</w:t>
                  </w:r>
                </w:p>
              </w:tc>
              <w:tc>
                <w:tcPr>
                  <w:tcW w:w="422" w:type="pct"/>
                  <w:noWrap w:val="0"/>
                  <w:vAlign w:val="center"/>
                </w:tcPr>
                <w:p>
                  <w:pPr>
                    <w:pStyle w:val="38"/>
                    <w:bidi w:val="0"/>
                    <w:rPr>
                      <w:u w:val="single"/>
                    </w:rPr>
                  </w:pPr>
                  <w:r>
                    <w:rPr>
                      <w:rFonts w:hint="eastAsia"/>
                      <w:u w:val="single"/>
                    </w:rPr>
                    <w:t>套</w:t>
                  </w:r>
                </w:p>
              </w:tc>
              <w:tc>
                <w:tcPr>
                  <w:tcW w:w="929" w:type="pct"/>
                  <w:noWrap w:val="0"/>
                  <w:vAlign w:val="center"/>
                </w:tcPr>
                <w:p>
                  <w:pPr>
                    <w:pStyle w:val="47"/>
                    <w:rPr>
                      <w:rFonts w:hint="default" w:eastAsia="宋体"/>
                      <w:u w:val="single"/>
                      <w:lang w:val="en-US" w:eastAsia="zh-CN"/>
                    </w:rPr>
                  </w:pPr>
                  <w:r>
                    <w:rPr>
                      <w:rFonts w:hint="eastAsia"/>
                      <w:u w:val="single"/>
                      <w:lang w:val="en-US" w:eastAsia="zh-CN"/>
                    </w:rPr>
                    <w:t>PT48</w:t>
                  </w:r>
                </w:p>
              </w:tc>
              <w:tc>
                <w:tcPr>
                  <w:tcW w:w="1393" w:type="pct"/>
                  <w:noWrap w:val="0"/>
                  <w:vAlign w:val="center"/>
                </w:tcPr>
                <w:p>
                  <w:pPr>
                    <w:pStyle w:val="47"/>
                    <w:rPr>
                      <w:u w:val="single"/>
                    </w:rPr>
                  </w:pPr>
                  <w:r>
                    <w:rPr>
                      <w:rFonts w:hint="eastAsia"/>
                      <w:u w:val="singl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07" w:type="pct"/>
                  <w:noWrap w:val="0"/>
                  <w:vAlign w:val="center"/>
                </w:tcPr>
                <w:p>
                  <w:pPr>
                    <w:pStyle w:val="47"/>
                    <w:rPr>
                      <w:u w:val="single"/>
                    </w:rPr>
                  </w:pPr>
                  <w:r>
                    <w:rPr>
                      <w:u w:val="single"/>
                    </w:rPr>
                    <w:t>4</w:t>
                  </w:r>
                </w:p>
              </w:tc>
              <w:tc>
                <w:tcPr>
                  <w:tcW w:w="1382" w:type="pct"/>
                  <w:noWrap w:val="0"/>
                  <w:vAlign w:val="center"/>
                </w:tcPr>
                <w:p>
                  <w:pPr>
                    <w:pStyle w:val="38"/>
                    <w:bidi w:val="0"/>
                    <w:rPr>
                      <w:u w:val="single"/>
                    </w:rPr>
                  </w:pPr>
                  <w:r>
                    <w:rPr>
                      <w:rFonts w:hint="eastAsia"/>
                      <w:u w:val="single"/>
                    </w:rPr>
                    <w:t>称重计量系统</w:t>
                  </w:r>
                </w:p>
              </w:tc>
              <w:tc>
                <w:tcPr>
                  <w:tcW w:w="464" w:type="pct"/>
                  <w:noWrap w:val="0"/>
                  <w:vAlign w:val="center"/>
                </w:tcPr>
                <w:p>
                  <w:pPr>
                    <w:pStyle w:val="38"/>
                    <w:bidi w:val="0"/>
                    <w:rPr>
                      <w:u w:val="single"/>
                    </w:rPr>
                  </w:pPr>
                  <w:r>
                    <w:rPr>
                      <w:rFonts w:hint="eastAsia"/>
                      <w:u w:val="single"/>
                    </w:rPr>
                    <w:t>2</w:t>
                  </w:r>
                </w:p>
              </w:tc>
              <w:tc>
                <w:tcPr>
                  <w:tcW w:w="422" w:type="pct"/>
                  <w:noWrap w:val="0"/>
                  <w:vAlign w:val="center"/>
                </w:tcPr>
                <w:p>
                  <w:pPr>
                    <w:pStyle w:val="38"/>
                    <w:bidi w:val="0"/>
                    <w:rPr>
                      <w:u w:val="single"/>
                    </w:rPr>
                  </w:pPr>
                  <w:r>
                    <w:rPr>
                      <w:rFonts w:hint="eastAsia"/>
                      <w:u w:val="single"/>
                    </w:rPr>
                    <w:t>台</w:t>
                  </w:r>
                </w:p>
              </w:tc>
              <w:tc>
                <w:tcPr>
                  <w:tcW w:w="929" w:type="pct"/>
                  <w:noWrap w:val="0"/>
                  <w:vAlign w:val="center"/>
                </w:tcPr>
                <w:p>
                  <w:pPr>
                    <w:pStyle w:val="47"/>
                    <w:rPr>
                      <w:rFonts w:hint="default" w:eastAsia="宋体"/>
                      <w:u w:val="single"/>
                      <w:lang w:val="en-US" w:eastAsia="zh-CN"/>
                    </w:rPr>
                  </w:pPr>
                  <w:r>
                    <w:rPr>
                      <w:rFonts w:hint="eastAsia"/>
                      <w:u w:val="single"/>
                      <w:lang w:val="en-US" w:eastAsia="zh-CN"/>
                    </w:rPr>
                    <w:t>SCS-50/3</w:t>
                  </w:r>
                  <w:r>
                    <w:rPr>
                      <w:rFonts w:hint="default" w:ascii="Arial" w:hAnsi="Arial" w:cs="Arial"/>
                      <w:u w:val="single"/>
                      <w:lang w:val="en-US" w:eastAsia="zh-CN"/>
                    </w:rPr>
                    <w:t>×</w:t>
                  </w:r>
                  <w:r>
                    <w:rPr>
                      <w:rFonts w:hint="eastAsia"/>
                      <w:u w:val="single"/>
                      <w:lang w:val="en-US" w:eastAsia="zh-CN"/>
                    </w:rPr>
                    <w:t>10</w:t>
                  </w:r>
                </w:p>
              </w:tc>
              <w:tc>
                <w:tcPr>
                  <w:tcW w:w="1393" w:type="pct"/>
                  <w:noWrap w:val="0"/>
                  <w:vAlign w:val="center"/>
                </w:tcPr>
                <w:p>
                  <w:pPr>
                    <w:pStyle w:val="47"/>
                    <w:rPr>
                      <w:u w:val="single"/>
                    </w:rPr>
                  </w:pPr>
                  <w:r>
                    <w:rPr>
                      <w:rFonts w:hint="eastAsia"/>
                      <w:u w:val="singl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07" w:type="pct"/>
                  <w:noWrap w:val="0"/>
                  <w:vAlign w:val="center"/>
                </w:tcPr>
                <w:p>
                  <w:pPr>
                    <w:pStyle w:val="47"/>
                    <w:rPr>
                      <w:u w:val="single"/>
                    </w:rPr>
                  </w:pPr>
                  <w:r>
                    <w:rPr>
                      <w:u w:val="single"/>
                    </w:rPr>
                    <w:t>5</w:t>
                  </w:r>
                </w:p>
              </w:tc>
              <w:tc>
                <w:tcPr>
                  <w:tcW w:w="1382" w:type="pct"/>
                  <w:noWrap w:val="0"/>
                  <w:vAlign w:val="center"/>
                </w:tcPr>
                <w:p>
                  <w:pPr>
                    <w:pStyle w:val="38"/>
                    <w:bidi w:val="0"/>
                    <w:rPr>
                      <w:u w:val="single"/>
                    </w:rPr>
                  </w:pPr>
                  <w:r>
                    <w:rPr>
                      <w:rFonts w:hint="eastAsia"/>
                      <w:u w:val="single"/>
                    </w:rPr>
                    <w:t>上料机</w:t>
                  </w:r>
                </w:p>
              </w:tc>
              <w:tc>
                <w:tcPr>
                  <w:tcW w:w="464" w:type="pct"/>
                  <w:noWrap w:val="0"/>
                  <w:vAlign w:val="center"/>
                </w:tcPr>
                <w:p>
                  <w:pPr>
                    <w:pStyle w:val="38"/>
                    <w:bidi w:val="0"/>
                    <w:rPr>
                      <w:u w:val="single"/>
                    </w:rPr>
                  </w:pPr>
                  <w:r>
                    <w:rPr>
                      <w:rFonts w:hint="eastAsia"/>
                      <w:u w:val="single"/>
                    </w:rPr>
                    <w:t>2</w:t>
                  </w:r>
                </w:p>
              </w:tc>
              <w:tc>
                <w:tcPr>
                  <w:tcW w:w="422" w:type="pct"/>
                  <w:noWrap w:val="0"/>
                  <w:vAlign w:val="center"/>
                </w:tcPr>
                <w:p>
                  <w:pPr>
                    <w:pStyle w:val="38"/>
                    <w:bidi w:val="0"/>
                    <w:rPr>
                      <w:u w:val="single"/>
                    </w:rPr>
                  </w:pPr>
                  <w:r>
                    <w:rPr>
                      <w:rFonts w:hint="eastAsia"/>
                      <w:u w:val="single"/>
                    </w:rPr>
                    <w:t>套</w:t>
                  </w:r>
                </w:p>
              </w:tc>
              <w:tc>
                <w:tcPr>
                  <w:tcW w:w="929" w:type="pct"/>
                  <w:noWrap w:val="0"/>
                  <w:vAlign w:val="center"/>
                </w:tcPr>
                <w:p>
                  <w:pPr>
                    <w:pStyle w:val="47"/>
                    <w:rPr>
                      <w:rFonts w:hint="default" w:eastAsia="宋体"/>
                      <w:u w:val="single"/>
                      <w:lang w:val="en-US" w:eastAsia="zh-CN"/>
                    </w:rPr>
                  </w:pPr>
                  <w:r>
                    <w:rPr>
                      <w:rFonts w:hint="eastAsia"/>
                      <w:u w:val="single"/>
                      <w:lang w:val="en-US" w:eastAsia="zh-CN"/>
                    </w:rPr>
                    <w:t>SLT40</w:t>
                  </w:r>
                </w:p>
              </w:tc>
              <w:tc>
                <w:tcPr>
                  <w:tcW w:w="1393" w:type="pct"/>
                  <w:noWrap w:val="0"/>
                  <w:vAlign w:val="center"/>
                </w:tcPr>
                <w:p>
                  <w:pPr>
                    <w:pStyle w:val="47"/>
                    <w:rPr>
                      <w:rFonts w:hint="eastAsia" w:eastAsia="宋体"/>
                      <w:u w:val="single"/>
                      <w:lang w:eastAsia="zh-CN"/>
                    </w:rPr>
                  </w:pPr>
                  <w:r>
                    <w:rPr>
                      <w:rFonts w:hint="eastAsia"/>
                      <w:u w:val="single"/>
                      <w:lang w:eastAsia="zh-CN"/>
                    </w:rPr>
                    <w:t>推板式上料，液压驱动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07" w:type="pct"/>
                  <w:noWrap w:val="0"/>
                  <w:vAlign w:val="center"/>
                </w:tcPr>
                <w:p>
                  <w:pPr>
                    <w:pStyle w:val="47"/>
                    <w:rPr>
                      <w:u w:val="single"/>
                    </w:rPr>
                  </w:pPr>
                  <w:r>
                    <w:rPr>
                      <w:u w:val="single"/>
                    </w:rPr>
                    <w:t>6</w:t>
                  </w:r>
                </w:p>
              </w:tc>
              <w:tc>
                <w:tcPr>
                  <w:tcW w:w="1382" w:type="pct"/>
                  <w:noWrap w:val="0"/>
                  <w:vAlign w:val="center"/>
                </w:tcPr>
                <w:p>
                  <w:pPr>
                    <w:pStyle w:val="38"/>
                    <w:bidi w:val="0"/>
                    <w:rPr>
                      <w:u w:val="single"/>
                    </w:rPr>
                  </w:pPr>
                  <w:r>
                    <w:rPr>
                      <w:rFonts w:hint="eastAsia"/>
                      <w:u w:val="single"/>
                    </w:rPr>
                    <w:t>中央控制系统</w:t>
                  </w:r>
                </w:p>
              </w:tc>
              <w:tc>
                <w:tcPr>
                  <w:tcW w:w="464" w:type="pct"/>
                  <w:noWrap w:val="0"/>
                  <w:vAlign w:val="center"/>
                </w:tcPr>
                <w:p>
                  <w:pPr>
                    <w:pStyle w:val="38"/>
                    <w:bidi w:val="0"/>
                    <w:rPr>
                      <w:u w:val="single"/>
                    </w:rPr>
                  </w:pPr>
                  <w:r>
                    <w:rPr>
                      <w:rFonts w:hint="eastAsia"/>
                      <w:u w:val="single"/>
                    </w:rPr>
                    <w:t>1</w:t>
                  </w:r>
                </w:p>
              </w:tc>
              <w:tc>
                <w:tcPr>
                  <w:tcW w:w="422" w:type="pct"/>
                  <w:noWrap w:val="0"/>
                  <w:vAlign w:val="center"/>
                </w:tcPr>
                <w:p>
                  <w:pPr>
                    <w:pStyle w:val="38"/>
                    <w:bidi w:val="0"/>
                    <w:rPr>
                      <w:u w:val="single"/>
                    </w:rPr>
                  </w:pPr>
                  <w:r>
                    <w:rPr>
                      <w:rFonts w:hint="eastAsia"/>
                      <w:u w:val="single"/>
                    </w:rPr>
                    <w:t>套</w:t>
                  </w:r>
                </w:p>
              </w:tc>
              <w:tc>
                <w:tcPr>
                  <w:tcW w:w="929" w:type="pct"/>
                  <w:noWrap w:val="0"/>
                  <w:vAlign w:val="center"/>
                </w:tcPr>
                <w:p>
                  <w:pPr>
                    <w:pStyle w:val="47"/>
                    <w:rPr>
                      <w:rFonts w:hint="default" w:eastAsia="宋体"/>
                      <w:u w:val="single"/>
                      <w:lang w:val="en-US" w:eastAsia="zh-CN"/>
                    </w:rPr>
                  </w:pPr>
                  <w:r>
                    <w:rPr>
                      <w:rFonts w:hint="eastAsia"/>
                      <w:u w:val="single"/>
                      <w:lang w:val="en-US" w:eastAsia="zh-CN"/>
                    </w:rPr>
                    <w:t>ZK-LYS</w:t>
                  </w:r>
                </w:p>
              </w:tc>
              <w:tc>
                <w:tcPr>
                  <w:tcW w:w="1393" w:type="pct"/>
                  <w:noWrap w:val="0"/>
                  <w:vAlign w:val="center"/>
                </w:tcPr>
                <w:p>
                  <w:pPr>
                    <w:pStyle w:val="47"/>
                    <w:rPr>
                      <w:u w:val="single"/>
                    </w:rPr>
                  </w:pPr>
                  <w:r>
                    <w:rPr>
                      <w:rFonts w:hint="eastAsia"/>
                      <w:u w:val="singl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07" w:type="pct"/>
                  <w:noWrap w:val="0"/>
                  <w:vAlign w:val="center"/>
                </w:tcPr>
                <w:p>
                  <w:pPr>
                    <w:pStyle w:val="47"/>
                    <w:rPr>
                      <w:u w:val="single"/>
                    </w:rPr>
                  </w:pPr>
                  <w:r>
                    <w:rPr>
                      <w:u w:val="single"/>
                    </w:rPr>
                    <w:t>7</w:t>
                  </w:r>
                </w:p>
              </w:tc>
              <w:tc>
                <w:tcPr>
                  <w:tcW w:w="1382" w:type="pct"/>
                  <w:noWrap w:val="0"/>
                  <w:vAlign w:val="center"/>
                </w:tcPr>
                <w:p>
                  <w:pPr>
                    <w:pStyle w:val="38"/>
                    <w:bidi w:val="0"/>
                    <w:rPr>
                      <w:u w:val="single"/>
                    </w:rPr>
                  </w:pPr>
                  <w:r>
                    <w:rPr>
                      <w:rFonts w:hint="eastAsia"/>
                      <w:u w:val="single"/>
                    </w:rPr>
                    <w:t>大屏显示系统</w:t>
                  </w:r>
                </w:p>
              </w:tc>
              <w:tc>
                <w:tcPr>
                  <w:tcW w:w="464" w:type="pct"/>
                  <w:noWrap w:val="0"/>
                  <w:vAlign w:val="center"/>
                </w:tcPr>
                <w:p>
                  <w:pPr>
                    <w:pStyle w:val="38"/>
                    <w:bidi w:val="0"/>
                    <w:rPr>
                      <w:u w:val="single"/>
                    </w:rPr>
                  </w:pPr>
                  <w:r>
                    <w:rPr>
                      <w:rFonts w:hint="eastAsia"/>
                      <w:u w:val="single"/>
                    </w:rPr>
                    <w:t>2</w:t>
                  </w:r>
                </w:p>
              </w:tc>
              <w:tc>
                <w:tcPr>
                  <w:tcW w:w="422" w:type="pct"/>
                  <w:noWrap w:val="0"/>
                  <w:vAlign w:val="center"/>
                </w:tcPr>
                <w:p>
                  <w:pPr>
                    <w:pStyle w:val="38"/>
                    <w:bidi w:val="0"/>
                    <w:rPr>
                      <w:u w:val="single"/>
                    </w:rPr>
                  </w:pPr>
                  <w:r>
                    <w:rPr>
                      <w:rFonts w:hint="eastAsia"/>
                      <w:u w:val="single"/>
                    </w:rPr>
                    <w:t>套</w:t>
                  </w:r>
                </w:p>
              </w:tc>
              <w:tc>
                <w:tcPr>
                  <w:tcW w:w="929" w:type="pct"/>
                  <w:noWrap w:val="0"/>
                  <w:vAlign w:val="center"/>
                </w:tcPr>
                <w:p>
                  <w:pPr>
                    <w:pStyle w:val="47"/>
                    <w:rPr>
                      <w:rFonts w:hint="default" w:eastAsia="宋体"/>
                      <w:u w:val="single"/>
                      <w:lang w:val="en-US" w:eastAsia="zh-CN"/>
                    </w:rPr>
                  </w:pPr>
                  <w:r>
                    <w:rPr>
                      <w:rFonts w:hint="eastAsia"/>
                      <w:u w:val="single"/>
                      <w:lang w:val="en-US" w:eastAsia="zh-CN"/>
                    </w:rPr>
                    <w:t>DP65*1</w:t>
                  </w:r>
                </w:p>
              </w:tc>
              <w:tc>
                <w:tcPr>
                  <w:tcW w:w="1393" w:type="pct"/>
                  <w:noWrap w:val="0"/>
                  <w:vAlign w:val="center"/>
                </w:tcPr>
                <w:p>
                  <w:pPr>
                    <w:pStyle w:val="47"/>
                    <w:rPr>
                      <w:u w:val="single"/>
                    </w:rPr>
                  </w:pPr>
                  <w:r>
                    <w:rPr>
                      <w:rFonts w:hint="eastAsia"/>
                      <w:u w:val="singl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07" w:type="pct"/>
                  <w:noWrap w:val="0"/>
                  <w:vAlign w:val="center"/>
                </w:tcPr>
                <w:p>
                  <w:pPr>
                    <w:pStyle w:val="47"/>
                    <w:rPr>
                      <w:u w:val="single"/>
                    </w:rPr>
                  </w:pPr>
                  <w:r>
                    <w:rPr>
                      <w:u w:val="single"/>
                    </w:rPr>
                    <w:t>8</w:t>
                  </w:r>
                </w:p>
              </w:tc>
              <w:tc>
                <w:tcPr>
                  <w:tcW w:w="1382" w:type="pct"/>
                  <w:noWrap w:val="0"/>
                  <w:vAlign w:val="center"/>
                </w:tcPr>
                <w:p>
                  <w:pPr>
                    <w:pStyle w:val="38"/>
                    <w:bidi w:val="0"/>
                    <w:rPr>
                      <w:u w:val="single"/>
                    </w:rPr>
                  </w:pPr>
                  <w:r>
                    <w:rPr>
                      <w:rFonts w:hint="eastAsia"/>
                      <w:u w:val="single"/>
                    </w:rPr>
                    <w:t>视频监控系统</w:t>
                  </w:r>
                </w:p>
              </w:tc>
              <w:tc>
                <w:tcPr>
                  <w:tcW w:w="464" w:type="pct"/>
                  <w:noWrap w:val="0"/>
                  <w:vAlign w:val="center"/>
                </w:tcPr>
                <w:p>
                  <w:pPr>
                    <w:pStyle w:val="38"/>
                    <w:bidi w:val="0"/>
                    <w:rPr>
                      <w:u w:val="single"/>
                    </w:rPr>
                  </w:pPr>
                  <w:r>
                    <w:rPr>
                      <w:rFonts w:hint="eastAsia"/>
                      <w:u w:val="single"/>
                    </w:rPr>
                    <w:t>2</w:t>
                  </w:r>
                </w:p>
              </w:tc>
              <w:tc>
                <w:tcPr>
                  <w:tcW w:w="422" w:type="pct"/>
                  <w:noWrap w:val="0"/>
                  <w:vAlign w:val="center"/>
                </w:tcPr>
                <w:p>
                  <w:pPr>
                    <w:pStyle w:val="38"/>
                    <w:bidi w:val="0"/>
                    <w:rPr>
                      <w:u w:val="single"/>
                    </w:rPr>
                  </w:pPr>
                  <w:r>
                    <w:rPr>
                      <w:rFonts w:hint="eastAsia"/>
                      <w:u w:val="single"/>
                    </w:rPr>
                    <w:t>套</w:t>
                  </w:r>
                </w:p>
              </w:tc>
              <w:tc>
                <w:tcPr>
                  <w:tcW w:w="929" w:type="pct"/>
                  <w:noWrap w:val="0"/>
                  <w:vAlign w:val="center"/>
                </w:tcPr>
                <w:p>
                  <w:pPr>
                    <w:pStyle w:val="47"/>
                    <w:rPr>
                      <w:rFonts w:hint="default"/>
                      <w:u w:val="single"/>
                      <w:lang w:val="en-US" w:eastAsia="zh-CN"/>
                    </w:rPr>
                  </w:pPr>
                  <w:r>
                    <w:rPr>
                      <w:rFonts w:hint="eastAsia"/>
                      <w:u w:val="single"/>
                      <w:lang w:val="en-US" w:eastAsia="zh-CN"/>
                    </w:rPr>
                    <w:t>JK-6G1B</w:t>
                  </w:r>
                </w:p>
              </w:tc>
              <w:tc>
                <w:tcPr>
                  <w:tcW w:w="1393" w:type="pct"/>
                  <w:noWrap w:val="0"/>
                  <w:vAlign w:val="center"/>
                </w:tcPr>
                <w:p>
                  <w:pPr>
                    <w:pStyle w:val="47"/>
                    <w:rPr>
                      <w:u w:val="single"/>
                    </w:rPr>
                  </w:pPr>
                  <w:r>
                    <w:rPr>
                      <w:rFonts w:hint="eastAsia"/>
                      <w:u w:val="singl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07" w:type="pct"/>
                  <w:noWrap w:val="0"/>
                  <w:vAlign w:val="center"/>
                </w:tcPr>
                <w:p>
                  <w:pPr>
                    <w:pStyle w:val="47"/>
                    <w:rPr>
                      <w:rFonts w:hint="eastAsia" w:eastAsia="宋体"/>
                      <w:u w:val="single"/>
                      <w:lang w:val="en-US" w:eastAsia="zh-CN"/>
                    </w:rPr>
                  </w:pPr>
                  <w:r>
                    <w:rPr>
                      <w:rFonts w:hint="eastAsia"/>
                      <w:u w:val="single"/>
                      <w:lang w:val="en-US" w:eastAsia="zh-CN"/>
                    </w:rPr>
                    <w:t>9</w:t>
                  </w:r>
                </w:p>
              </w:tc>
              <w:tc>
                <w:tcPr>
                  <w:tcW w:w="1382" w:type="pct"/>
                  <w:noWrap w:val="0"/>
                  <w:vAlign w:val="center"/>
                </w:tcPr>
                <w:p>
                  <w:pPr>
                    <w:pStyle w:val="38"/>
                    <w:bidi w:val="0"/>
                    <w:rPr>
                      <w:u w:val="single"/>
                    </w:rPr>
                  </w:pPr>
                  <w:r>
                    <w:rPr>
                      <w:rFonts w:hint="eastAsia"/>
                      <w:u w:val="single"/>
                    </w:rPr>
                    <w:t>交通指挥系统</w:t>
                  </w:r>
                </w:p>
              </w:tc>
              <w:tc>
                <w:tcPr>
                  <w:tcW w:w="464" w:type="pct"/>
                  <w:noWrap w:val="0"/>
                  <w:vAlign w:val="center"/>
                </w:tcPr>
                <w:p>
                  <w:pPr>
                    <w:pStyle w:val="38"/>
                    <w:bidi w:val="0"/>
                    <w:rPr>
                      <w:rFonts w:hint="eastAsia" w:eastAsia="宋体"/>
                      <w:u w:val="single"/>
                      <w:lang w:eastAsia="zh-CN"/>
                    </w:rPr>
                  </w:pPr>
                  <w:r>
                    <w:rPr>
                      <w:rFonts w:hint="eastAsia"/>
                      <w:u w:val="single"/>
                      <w:lang w:val="en-US" w:eastAsia="zh-CN"/>
                    </w:rPr>
                    <w:t>1</w:t>
                  </w:r>
                </w:p>
              </w:tc>
              <w:tc>
                <w:tcPr>
                  <w:tcW w:w="422" w:type="pct"/>
                  <w:noWrap w:val="0"/>
                  <w:vAlign w:val="center"/>
                </w:tcPr>
                <w:p>
                  <w:pPr>
                    <w:pStyle w:val="38"/>
                    <w:bidi w:val="0"/>
                    <w:rPr>
                      <w:u w:val="single"/>
                    </w:rPr>
                  </w:pPr>
                  <w:r>
                    <w:rPr>
                      <w:rFonts w:hint="eastAsia"/>
                      <w:u w:val="single"/>
                    </w:rPr>
                    <w:t>套</w:t>
                  </w:r>
                </w:p>
              </w:tc>
              <w:tc>
                <w:tcPr>
                  <w:tcW w:w="929" w:type="pct"/>
                  <w:noWrap w:val="0"/>
                  <w:vAlign w:val="center"/>
                </w:tcPr>
                <w:p>
                  <w:pPr>
                    <w:pStyle w:val="47"/>
                    <w:rPr>
                      <w:rFonts w:hint="default" w:eastAsia="宋体"/>
                      <w:u w:val="single"/>
                      <w:lang w:val="en-US" w:eastAsia="zh-CN"/>
                    </w:rPr>
                  </w:pPr>
                  <w:r>
                    <w:rPr>
                      <w:rFonts w:hint="eastAsia"/>
                      <w:u w:val="single"/>
                      <w:lang w:val="en-US" w:eastAsia="zh-CN"/>
                    </w:rPr>
                    <w:t>ZJTH-ZN</w:t>
                  </w:r>
                </w:p>
              </w:tc>
              <w:tc>
                <w:tcPr>
                  <w:tcW w:w="1393" w:type="pct"/>
                  <w:noWrap w:val="0"/>
                  <w:vAlign w:val="center"/>
                </w:tcPr>
                <w:p>
                  <w:pPr>
                    <w:pStyle w:val="47"/>
                    <w:rPr>
                      <w:rFonts w:hint="eastAsia"/>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07" w:type="pct"/>
                  <w:noWrap w:val="0"/>
                  <w:vAlign w:val="center"/>
                </w:tcPr>
                <w:p>
                  <w:pPr>
                    <w:pStyle w:val="47"/>
                    <w:rPr>
                      <w:rFonts w:hint="default" w:eastAsia="宋体"/>
                      <w:u w:val="single"/>
                      <w:lang w:val="en-US" w:eastAsia="zh-CN"/>
                    </w:rPr>
                  </w:pPr>
                  <w:r>
                    <w:rPr>
                      <w:rFonts w:hint="eastAsia"/>
                      <w:u w:val="single"/>
                      <w:lang w:val="en-US" w:eastAsia="zh-CN"/>
                    </w:rPr>
                    <w:t>10</w:t>
                  </w:r>
                </w:p>
              </w:tc>
              <w:tc>
                <w:tcPr>
                  <w:tcW w:w="1382" w:type="pct"/>
                  <w:noWrap w:val="0"/>
                  <w:vAlign w:val="center"/>
                </w:tcPr>
                <w:p>
                  <w:pPr>
                    <w:pStyle w:val="38"/>
                    <w:bidi w:val="0"/>
                    <w:rPr>
                      <w:rFonts w:hint="eastAsia" w:eastAsia="宋体"/>
                      <w:u w:val="single"/>
                      <w:lang w:eastAsia="zh-CN"/>
                    </w:rPr>
                  </w:pPr>
                  <w:r>
                    <w:rPr>
                      <w:rFonts w:hint="eastAsia"/>
                      <w:u w:val="single"/>
                      <w:lang w:eastAsia="zh-CN"/>
                    </w:rPr>
                    <w:t>高效生物吸附塔</w:t>
                  </w:r>
                </w:p>
              </w:tc>
              <w:tc>
                <w:tcPr>
                  <w:tcW w:w="464" w:type="pct"/>
                  <w:noWrap w:val="0"/>
                  <w:vAlign w:val="center"/>
                </w:tcPr>
                <w:p>
                  <w:pPr>
                    <w:pStyle w:val="38"/>
                    <w:bidi w:val="0"/>
                    <w:rPr>
                      <w:u w:val="single"/>
                    </w:rPr>
                  </w:pPr>
                  <w:r>
                    <w:rPr>
                      <w:rFonts w:hint="eastAsia"/>
                      <w:u w:val="single"/>
                    </w:rPr>
                    <w:t>1</w:t>
                  </w:r>
                </w:p>
              </w:tc>
              <w:tc>
                <w:tcPr>
                  <w:tcW w:w="422" w:type="pct"/>
                  <w:noWrap w:val="0"/>
                  <w:vAlign w:val="center"/>
                </w:tcPr>
                <w:p>
                  <w:pPr>
                    <w:pStyle w:val="38"/>
                    <w:bidi w:val="0"/>
                    <w:rPr>
                      <w:u w:val="single"/>
                    </w:rPr>
                  </w:pPr>
                  <w:r>
                    <w:rPr>
                      <w:rFonts w:hint="eastAsia"/>
                      <w:u w:val="single"/>
                    </w:rPr>
                    <w:t>套</w:t>
                  </w:r>
                </w:p>
              </w:tc>
              <w:tc>
                <w:tcPr>
                  <w:tcW w:w="929" w:type="pct"/>
                  <w:noWrap w:val="0"/>
                  <w:vAlign w:val="center"/>
                </w:tcPr>
                <w:p>
                  <w:pPr>
                    <w:pStyle w:val="47"/>
                    <w:rPr>
                      <w:rFonts w:hint="eastAsia"/>
                      <w:u w:val="single"/>
                    </w:rPr>
                  </w:pPr>
                </w:p>
              </w:tc>
              <w:tc>
                <w:tcPr>
                  <w:tcW w:w="1393" w:type="pct"/>
                  <w:noWrap w:val="0"/>
                  <w:vAlign w:val="center"/>
                </w:tcPr>
                <w:p>
                  <w:pPr>
                    <w:pStyle w:val="47"/>
                    <w:rPr>
                      <w:rFonts w:hint="eastAsia"/>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07" w:type="pct"/>
                  <w:noWrap w:val="0"/>
                  <w:vAlign w:val="center"/>
                </w:tcPr>
                <w:p>
                  <w:pPr>
                    <w:pStyle w:val="47"/>
                    <w:rPr>
                      <w:rFonts w:hint="default" w:eastAsia="宋体"/>
                      <w:u w:val="single"/>
                      <w:lang w:val="en-US" w:eastAsia="zh-CN"/>
                    </w:rPr>
                  </w:pPr>
                  <w:r>
                    <w:rPr>
                      <w:rFonts w:hint="eastAsia"/>
                      <w:u w:val="single"/>
                      <w:lang w:val="en-US" w:eastAsia="zh-CN"/>
                    </w:rPr>
                    <w:t>11</w:t>
                  </w:r>
                </w:p>
              </w:tc>
              <w:tc>
                <w:tcPr>
                  <w:tcW w:w="1382" w:type="pct"/>
                  <w:noWrap w:val="0"/>
                  <w:vAlign w:val="center"/>
                </w:tcPr>
                <w:p>
                  <w:pPr>
                    <w:pStyle w:val="38"/>
                    <w:bidi w:val="0"/>
                    <w:rPr>
                      <w:u w:val="single"/>
                    </w:rPr>
                  </w:pPr>
                  <w:r>
                    <w:rPr>
                      <w:rFonts w:hint="eastAsia"/>
                      <w:u w:val="single"/>
                    </w:rPr>
                    <w:t>空间异味喷淋除臭系统</w:t>
                  </w:r>
                </w:p>
              </w:tc>
              <w:tc>
                <w:tcPr>
                  <w:tcW w:w="464" w:type="pct"/>
                  <w:noWrap w:val="0"/>
                  <w:vAlign w:val="center"/>
                </w:tcPr>
                <w:p>
                  <w:pPr>
                    <w:pStyle w:val="38"/>
                    <w:bidi w:val="0"/>
                    <w:rPr>
                      <w:u w:val="single"/>
                    </w:rPr>
                  </w:pPr>
                  <w:r>
                    <w:rPr>
                      <w:rFonts w:hint="eastAsia"/>
                      <w:u w:val="single"/>
                    </w:rPr>
                    <w:t>1</w:t>
                  </w:r>
                </w:p>
              </w:tc>
              <w:tc>
                <w:tcPr>
                  <w:tcW w:w="422" w:type="pct"/>
                  <w:noWrap w:val="0"/>
                  <w:vAlign w:val="center"/>
                </w:tcPr>
                <w:p>
                  <w:pPr>
                    <w:pStyle w:val="38"/>
                    <w:bidi w:val="0"/>
                    <w:rPr>
                      <w:u w:val="single"/>
                    </w:rPr>
                  </w:pPr>
                  <w:r>
                    <w:rPr>
                      <w:rFonts w:hint="eastAsia"/>
                      <w:u w:val="single"/>
                    </w:rPr>
                    <w:t>套</w:t>
                  </w:r>
                </w:p>
              </w:tc>
              <w:tc>
                <w:tcPr>
                  <w:tcW w:w="929" w:type="pct"/>
                  <w:noWrap w:val="0"/>
                  <w:vAlign w:val="center"/>
                </w:tcPr>
                <w:p>
                  <w:pPr>
                    <w:pStyle w:val="47"/>
                    <w:rPr>
                      <w:rFonts w:hint="eastAsia"/>
                      <w:u w:val="single"/>
                    </w:rPr>
                  </w:pPr>
                </w:p>
              </w:tc>
              <w:tc>
                <w:tcPr>
                  <w:tcW w:w="1393" w:type="pct"/>
                  <w:noWrap w:val="0"/>
                  <w:vAlign w:val="center"/>
                </w:tcPr>
                <w:p>
                  <w:pPr>
                    <w:pStyle w:val="47"/>
                    <w:rPr>
                      <w:rFonts w:hint="eastAsia"/>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07" w:type="pct"/>
                  <w:noWrap w:val="0"/>
                  <w:vAlign w:val="center"/>
                </w:tcPr>
                <w:p>
                  <w:pPr>
                    <w:pStyle w:val="47"/>
                    <w:rPr>
                      <w:rFonts w:hint="default" w:eastAsia="宋体"/>
                      <w:u w:val="single"/>
                      <w:lang w:val="en-US" w:eastAsia="zh-CN"/>
                    </w:rPr>
                  </w:pPr>
                  <w:r>
                    <w:rPr>
                      <w:rFonts w:hint="eastAsia"/>
                      <w:u w:val="single"/>
                      <w:lang w:val="en-US" w:eastAsia="zh-CN"/>
                    </w:rPr>
                    <w:t>12</w:t>
                  </w:r>
                </w:p>
              </w:tc>
              <w:tc>
                <w:tcPr>
                  <w:tcW w:w="1382" w:type="pct"/>
                  <w:noWrap w:val="0"/>
                  <w:vAlign w:val="center"/>
                </w:tcPr>
                <w:p>
                  <w:pPr>
                    <w:pStyle w:val="38"/>
                    <w:bidi w:val="0"/>
                    <w:rPr>
                      <w:u w:val="single"/>
                    </w:rPr>
                  </w:pPr>
                  <w:r>
                    <w:rPr>
                      <w:rFonts w:hint="eastAsia"/>
                      <w:u w:val="single"/>
                    </w:rPr>
                    <w:t>料口喷淋降尘系统</w:t>
                  </w:r>
                </w:p>
              </w:tc>
              <w:tc>
                <w:tcPr>
                  <w:tcW w:w="464" w:type="pct"/>
                  <w:noWrap w:val="0"/>
                  <w:vAlign w:val="center"/>
                </w:tcPr>
                <w:p>
                  <w:pPr>
                    <w:pStyle w:val="38"/>
                    <w:bidi w:val="0"/>
                    <w:rPr>
                      <w:u w:val="single"/>
                    </w:rPr>
                  </w:pPr>
                  <w:r>
                    <w:rPr>
                      <w:rFonts w:hint="eastAsia"/>
                      <w:u w:val="single"/>
                    </w:rPr>
                    <w:t>4</w:t>
                  </w:r>
                </w:p>
              </w:tc>
              <w:tc>
                <w:tcPr>
                  <w:tcW w:w="422" w:type="pct"/>
                  <w:noWrap w:val="0"/>
                  <w:vAlign w:val="center"/>
                </w:tcPr>
                <w:p>
                  <w:pPr>
                    <w:pStyle w:val="38"/>
                    <w:bidi w:val="0"/>
                    <w:rPr>
                      <w:u w:val="single"/>
                    </w:rPr>
                  </w:pPr>
                  <w:r>
                    <w:rPr>
                      <w:rFonts w:hint="eastAsia"/>
                      <w:u w:val="single"/>
                    </w:rPr>
                    <w:t>个</w:t>
                  </w:r>
                </w:p>
              </w:tc>
              <w:tc>
                <w:tcPr>
                  <w:tcW w:w="929" w:type="pct"/>
                  <w:noWrap w:val="0"/>
                  <w:vAlign w:val="center"/>
                </w:tcPr>
                <w:p>
                  <w:pPr>
                    <w:pStyle w:val="47"/>
                    <w:rPr>
                      <w:rFonts w:hint="eastAsia"/>
                      <w:u w:val="single"/>
                    </w:rPr>
                  </w:pPr>
                </w:p>
              </w:tc>
              <w:tc>
                <w:tcPr>
                  <w:tcW w:w="1393" w:type="pct"/>
                  <w:noWrap w:val="0"/>
                  <w:vAlign w:val="center"/>
                </w:tcPr>
                <w:p>
                  <w:pPr>
                    <w:pStyle w:val="47"/>
                    <w:rPr>
                      <w:rFonts w:hint="eastAsia"/>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07" w:type="pct"/>
                  <w:noWrap w:val="0"/>
                  <w:vAlign w:val="center"/>
                </w:tcPr>
                <w:p>
                  <w:pPr>
                    <w:pStyle w:val="47"/>
                    <w:rPr>
                      <w:rFonts w:hint="default" w:eastAsia="宋体"/>
                      <w:u w:val="single"/>
                      <w:lang w:val="en-US" w:eastAsia="zh-CN"/>
                    </w:rPr>
                  </w:pPr>
                  <w:r>
                    <w:rPr>
                      <w:rFonts w:hint="eastAsia"/>
                      <w:u w:val="single"/>
                      <w:lang w:val="en-US" w:eastAsia="zh-CN"/>
                    </w:rPr>
                    <w:t>13</w:t>
                  </w:r>
                </w:p>
              </w:tc>
              <w:tc>
                <w:tcPr>
                  <w:tcW w:w="1382" w:type="pct"/>
                  <w:noWrap w:val="0"/>
                  <w:vAlign w:val="center"/>
                </w:tcPr>
                <w:p>
                  <w:pPr>
                    <w:pStyle w:val="38"/>
                    <w:bidi w:val="0"/>
                    <w:rPr>
                      <w:u w:val="single"/>
                    </w:rPr>
                  </w:pPr>
                  <w:r>
                    <w:rPr>
                      <w:rFonts w:hint="eastAsia"/>
                      <w:u w:val="single"/>
                    </w:rPr>
                    <w:t>快速卷帘门</w:t>
                  </w:r>
                </w:p>
              </w:tc>
              <w:tc>
                <w:tcPr>
                  <w:tcW w:w="464" w:type="pct"/>
                  <w:noWrap w:val="0"/>
                  <w:vAlign w:val="center"/>
                </w:tcPr>
                <w:p>
                  <w:pPr>
                    <w:pStyle w:val="38"/>
                    <w:bidi w:val="0"/>
                    <w:rPr>
                      <w:rFonts w:hint="eastAsia" w:eastAsia="宋体"/>
                      <w:u w:val="single"/>
                      <w:lang w:eastAsia="zh-CN"/>
                    </w:rPr>
                  </w:pPr>
                  <w:r>
                    <w:rPr>
                      <w:rFonts w:hint="eastAsia"/>
                      <w:u w:val="single"/>
                      <w:lang w:val="en-US" w:eastAsia="zh-CN"/>
                    </w:rPr>
                    <w:t>4</w:t>
                  </w:r>
                </w:p>
              </w:tc>
              <w:tc>
                <w:tcPr>
                  <w:tcW w:w="422" w:type="pct"/>
                  <w:noWrap w:val="0"/>
                  <w:vAlign w:val="center"/>
                </w:tcPr>
                <w:p>
                  <w:pPr>
                    <w:pStyle w:val="38"/>
                    <w:bidi w:val="0"/>
                    <w:rPr>
                      <w:rFonts w:hint="default" w:eastAsia="宋体"/>
                      <w:u w:val="single"/>
                      <w:lang w:val="en-US" w:eastAsia="zh-CN"/>
                    </w:rPr>
                  </w:pPr>
                  <w:r>
                    <w:rPr>
                      <w:rFonts w:hint="eastAsia"/>
                      <w:u w:val="single"/>
                      <w:lang w:val="en-US" w:eastAsia="zh-CN"/>
                    </w:rPr>
                    <w:t>套</w:t>
                  </w:r>
                </w:p>
              </w:tc>
              <w:tc>
                <w:tcPr>
                  <w:tcW w:w="929" w:type="pct"/>
                  <w:noWrap w:val="0"/>
                  <w:vAlign w:val="center"/>
                </w:tcPr>
                <w:p>
                  <w:pPr>
                    <w:pStyle w:val="47"/>
                    <w:rPr>
                      <w:rFonts w:hint="default" w:eastAsia="宋体"/>
                      <w:u w:val="single"/>
                      <w:lang w:val="en-US" w:eastAsia="zh-CN"/>
                    </w:rPr>
                  </w:pPr>
                  <w:r>
                    <w:rPr>
                      <w:rFonts w:hint="eastAsia"/>
                      <w:u w:val="single"/>
                      <w:lang w:val="en-US" w:eastAsia="zh-CN"/>
                    </w:rPr>
                    <w:t>V1500</w:t>
                  </w:r>
                </w:p>
              </w:tc>
              <w:tc>
                <w:tcPr>
                  <w:tcW w:w="1393" w:type="pct"/>
                  <w:noWrap w:val="0"/>
                  <w:vAlign w:val="center"/>
                </w:tcPr>
                <w:p>
                  <w:pPr>
                    <w:pStyle w:val="47"/>
                    <w:rPr>
                      <w:rFonts w:hint="default" w:eastAsia="宋体"/>
                      <w:u w:val="single"/>
                      <w:lang w:val="en-US" w:eastAsia="zh-CN"/>
                    </w:rPr>
                  </w:pPr>
                  <w:r>
                    <w:rPr>
                      <w:rFonts w:hint="eastAsia"/>
                      <w:u w:val="single"/>
                      <w:lang w:val="en-US" w:eastAsia="zh-CN"/>
                    </w:rPr>
                    <w:t>6500（高）</w:t>
                  </w:r>
                  <w:r>
                    <w:rPr>
                      <w:rFonts w:hint="default" w:ascii="Arial" w:hAnsi="Arial" w:cs="Arial"/>
                      <w:u w:val="single"/>
                      <w:lang w:val="en-US" w:eastAsia="zh-CN"/>
                    </w:rPr>
                    <w:t>×</w:t>
                  </w:r>
                  <w:r>
                    <w:rPr>
                      <w:rFonts w:hint="eastAsia"/>
                      <w:u w:val="single"/>
                      <w:lang w:val="en-US" w:eastAsia="zh-CN"/>
                    </w:rPr>
                    <w:t>3500（宽）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07" w:type="pct"/>
                  <w:noWrap w:val="0"/>
                  <w:vAlign w:val="center"/>
                </w:tcPr>
                <w:p>
                  <w:pPr>
                    <w:pStyle w:val="47"/>
                    <w:rPr>
                      <w:rFonts w:hint="default" w:eastAsia="宋体"/>
                      <w:u w:val="single"/>
                      <w:lang w:val="en-US" w:eastAsia="zh-CN"/>
                    </w:rPr>
                  </w:pPr>
                  <w:r>
                    <w:rPr>
                      <w:rFonts w:hint="eastAsia"/>
                      <w:u w:val="single"/>
                      <w:lang w:val="en-US" w:eastAsia="zh-CN"/>
                    </w:rPr>
                    <w:t>14</w:t>
                  </w:r>
                </w:p>
              </w:tc>
              <w:tc>
                <w:tcPr>
                  <w:tcW w:w="1382" w:type="pct"/>
                  <w:noWrap w:val="0"/>
                  <w:vAlign w:val="center"/>
                </w:tcPr>
                <w:p>
                  <w:pPr>
                    <w:pStyle w:val="38"/>
                    <w:bidi w:val="0"/>
                    <w:rPr>
                      <w:u w:val="single"/>
                    </w:rPr>
                  </w:pPr>
                  <w:r>
                    <w:rPr>
                      <w:rFonts w:hint="eastAsia"/>
                      <w:u w:val="single"/>
                    </w:rPr>
                    <w:t>高压清洗机</w:t>
                  </w:r>
                </w:p>
              </w:tc>
              <w:tc>
                <w:tcPr>
                  <w:tcW w:w="464" w:type="pct"/>
                  <w:noWrap w:val="0"/>
                  <w:vAlign w:val="center"/>
                </w:tcPr>
                <w:p>
                  <w:pPr>
                    <w:pStyle w:val="38"/>
                    <w:bidi w:val="0"/>
                    <w:rPr>
                      <w:u w:val="single"/>
                    </w:rPr>
                  </w:pPr>
                  <w:r>
                    <w:rPr>
                      <w:rFonts w:hint="eastAsia"/>
                      <w:u w:val="single"/>
                    </w:rPr>
                    <w:t>1</w:t>
                  </w:r>
                </w:p>
              </w:tc>
              <w:tc>
                <w:tcPr>
                  <w:tcW w:w="422" w:type="pct"/>
                  <w:noWrap w:val="0"/>
                  <w:vAlign w:val="center"/>
                </w:tcPr>
                <w:p>
                  <w:pPr>
                    <w:pStyle w:val="38"/>
                    <w:bidi w:val="0"/>
                    <w:rPr>
                      <w:u w:val="single"/>
                    </w:rPr>
                  </w:pPr>
                  <w:r>
                    <w:rPr>
                      <w:rFonts w:hint="eastAsia"/>
                      <w:u w:val="single"/>
                    </w:rPr>
                    <w:t>套</w:t>
                  </w:r>
                </w:p>
              </w:tc>
              <w:tc>
                <w:tcPr>
                  <w:tcW w:w="929" w:type="pct"/>
                  <w:noWrap w:val="0"/>
                  <w:vAlign w:val="center"/>
                </w:tcPr>
                <w:p>
                  <w:pPr>
                    <w:pStyle w:val="47"/>
                    <w:rPr>
                      <w:rFonts w:hint="eastAsia"/>
                      <w:u w:val="single"/>
                    </w:rPr>
                  </w:pPr>
                </w:p>
              </w:tc>
              <w:tc>
                <w:tcPr>
                  <w:tcW w:w="1393" w:type="pct"/>
                  <w:noWrap w:val="0"/>
                  <w:vAlign w:val="center"/>
                </w:tcPr>
                <w:p>
                  <w:pPr>
                    <w:pStyle w:val="47"/>
                    <w:rPr>
                      <w:rFonts w:hint="eastAsia"/>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07" w:type="pct"/>
                  <w:noWrap w:val="0"/>
                  <w:vAlign w:val="center"/>
                </w:tcPr>
                <w:p>
                  <w:pPr>
                    <w:pStyle w:val="47"/>
                    <w:rPr>
                      <w:rFonts w:hint="default" w:eastAsia="宋体"/>
                      <w:u w:val="single"/>
                      <w:lang w:val="en-US" w:eastAsia="zh-CN"/>
                    </w:rPr>
                  </w:pPr>
                  <w:r>
                    <w:rPr>
                      <w:rFonts w:hint="eastAsia"/>
                      <w:u w:val="single"/>
                      <w:lang w:val="en-US" w:eastAsia="zh-CN"/>
                    </w:rPr>
                    <w:t>15</w:t>
                  </w:r>
                </w:p>
              </w:tc>
              <w:tc>
                <w:tcPr>
                  <w:tcW w:w="1382" w:type="pct"/>
                  <w:noWrap w:val="0"/>
                  <w:vAlign w:val="center"/>
                </w:tcPr>
                <w:p>
                  <w:pPr>
                    <w:pStyle w:val="38"/>
                    <w:bidi w:val="0"/>
                    <w:rPr>
                      <w:u w:val="single"/>
                    </w:rPr>
                  </w:pPr>
                  <w:r>
                    <w:rPr>
                      <w:rFonts w:hint="eastAsia"/>
                      <w:u w:val="single"/>
                    </w:rPr>
                    <w:t>语音广播系统</w:t>
                  </w:r>
                </w:p>
              </w:tc>
              <w:tc>
                <w:tcPr>
                  <w:tcW w:w="464" w:type="pct"/>
                  <w:noWrap w:val="0"/>
                  <w:vAlign w:val="center"/>
                </w:tcPr>
                <w:p>
                  <w:pPr>
                    <w:pStyle w:val="38"/>
                    <w:bidi w:val="0"/>
                    <w:rPr>
                      <w:u w:val="single"/>
                    </w:rPr>
                  </w:pPr>
                  <w:r>
                    <w:rPr>
                      <w:rFonts w:hint="eastAsia"/>
                      <w:u w:val="single"/>
                    </w:rPr>
                    <w:t>1</w:t>
                  </w:r>
                </w:p>
              </w:tc>
              <w:tc>
                <w:tcPr>
                  <w:tcW w:w="422" w:type="pct"/>
                  <w:noWrap w:val="0"/>
                  <w:vAlign w:val="center"/>
                </w:tcPr>
                <w:p>
                  <w:pPr>
                    <w:pStyle w:val="38"/>
                    <w:bidi w:val="0"/>
                    <w:rPr>
                      <w:u w:val="single"/>
                    </w:rPr>
                  </w:pPr>
                  <w:r>
                    <w:rPr>
                      <w:rFonts w:hint="eastAsia"/>
                      <w:u w:val="single"/>
                    </w:rPr>
                    <w:t>套</w:t>
                  </w:r>
                </w:p>
              </w:tc>
              <w:tc>
                <w:tcPr>
                  <w:tcW w:w="929" w:type="pct"/>
                  <w:noWrap w:val="0"/>
                  <w:vAlign w:val="center"/>
                </w:tcPr>
                <w:p>
                  <w:pPr>
                    <w:pStyle w:val="47"/>
                    <w:rPr>
                      <w:rFonts w:hint="default" w:eastAsia="宋体"/>
                      <w:u w:val="single"/>
                      <w:lang w:val="en-US" w:eastAsia="zh-CN"/>
                    </w:rPr>
                  </w:pPr>
                  <w:r>
                    <w:rPr>
                      <w:rFonts w:hint="eastAsia"/>
                      <w:u w:val="single"/>
                      <w:lang w:val="en-US" w:eastAsia="zh-CN"/>
                    </w:rPr>
                    <w:t>YY-GB</w:t>
                  </w:r>
                </w:p>
              </w:tc>
              <w:tc>
                <w:tcPr>
                  <w:tcW w:w="1393" w:type="pct"/>
                  <w:noWrap w:val="0"/>
                  <w:vAlign w:val="center"/>
                </w:tcPr>
                <w:p>
                  <w:pPr>
                    <w:pStyle w:val="47"/>
                    <w:rPr>
                      <w:rFonts w:hint="eastAsia"/>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07" w:type="pct"/>
                  <w:noWrap w:val="0"/>
                  <w:vAlign w:val="center"/>
                </w:tcPr>
                <w:p>
                  <w:pPr>
                    <w:pStyle w:val="47"/>
                    <w:rPr>
                      <w:rFonts w:hint="default" w:eastAsia="宋体"/>
                      <w:u w:val="single"/>
                      <w:lang w:val="en-US" w:eastAsia="zh-CN"/>
                    </w:rPr>
                  </w:pPr>
                  <w:r>
                    <w:rPr>
                      <w:rFonts w:hint="eastAsia"/>
                      <w:u w:val="single"/>
                      <w:lang w:val="en-US" w:eastAsia="zh-CN"/>
                    </w:rPr>
                    <w:t>16</w:t>
                  </w:r>
                </w:p>
              </w:tc>
              <w:tc>
                <w:tcPr>
                  <w:tcW w:w="1382" w:type="pct"/>
                  <w:noWrap w:val="0"/>
                  <w:vAlign w:val="center"/>
                </w:tcPr>
                <w:p>
                  <w:pPr>
                    <w:pStyle w:val="38"/>
                    <w:bidi w:val="0"/>
                    <w:rPr>
                      <w:u w:val="single"/>
                    </w:rPr>
                  </w:pPr>
                  <w:r>
                    <w:rPr>
                      <w:rFonts w:hint="eastAsia"/>
                      <w:u w:val="single"/>
                    </w:rPr>
                    <w:t>渗滤液真空收集系统</w:t>
                  </w:r>
                </w:p>
              </w:tc>
              <w:tc>
                <w:tcPr>
                  <w:tcW w:w="464" w:type="pct"/>
                  <w:noWrap w:val="0"/>
                  <w:vAlign w:val="center"/>
                </w:tcPr>
                <w:p>
                  <w:pPr>
                    <w:pStyle w:val="38"/>
                    <w:bidi w:val="0"/>
                    <w:rPr>
                      <w:u w:val="single"/>
                    </w:rPr>
                  </w:pPr>
                  <w:r>
                    <w:rPr>
                      <w:rFonts w:hint="eastAsia"/>
                      <w:u w:val="single"/>
                    </w:rPr>
                    <w:t>1</w:t>
                  </w:r>
                </w:p>
              </w:tc>
              <w:tc>
                <w:tcPr>
                  <w:tcW w:w="422" w:type="pct"/>
                  <w:noWrap w:val="0"/>
                  <w:vAlign w:val="center"/>
                </w:tcPr>
                <w:p>
                  <w:pPr>
                    <w:pStyle w:val="38"/>
                    <w:bidi w:val="0"/>
                    <w:rPr>
                      <w:u w:val="single"/>
                    </w:rPr>
                  </w:pPr>
                  <w:r>
                    <w:rPr>
                      <w:rFonts w:hint="eastAsia"/>
                      <w:u w:val="single"/>
                    </w:rPr>
                    <w:t>套</w:t>
                  </w:r>
                </w:p>
              </w:tc>
              <w:tc>
                <w:tcPr>
                  <w:tcW w:w="929" w:type="pct"/>
                  <w:noWrap w:val="0"/>
                  <w:vAlign w:val="center"/>
                </w:tcPr>
                <w:p>
                  <w:pPr>
                    <w:pStyle w:val="47"/>
                    <w:rPr>
                      <w:rFonts w:hint="eastAsia"/>
                      <w:u w:val="single"/>
                    </w:rPr>
                  </w:pPr>
                </w:p>
              </w:tc>
              <w:tc>
                <w:tcPr>
                  <w:tcW w:w="1393" w:type="pct"/>
                  <w:noWrap w:val="0"/>
                  <w:vAlign w:val="center"/>
                </w:tcPr>
                <w:p>
                  <w:pPr>
                    <w:pStyle w:val="47"/>
                    <w:rPr>
                      <w:rFonts w:hint="eastAsia"/>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07" w:type="pct"/>
                  <w:noWrap w:val="0"/>
                  <w:vAlign w:val="center"/>
                </w:tcPr>
                <w:p>
                  <w:pPr>
                    <w:pStyle w:val="47"/>
                    <w:rPr>
                      <w:rFonts w:hint="default" w:eastAsia="宋体"/>
                      <w:u w:val="single"/>
                      <w:lang w:val="en-US" w:eastAsia="zh-CN"/>
                    </w:rPr>
                  </w:pPr>
                  <w:r>
                    <w:rPr>
                      <w:rFonts w:hint="eastAsia"/>
                      <w:u w:val="single"/>
                      <w:lang w:val="en-US" w:eastAsia="zh-CN"/>
                    </w:rPr>
                    <w:t>17</w:t>
                  </w:r>
                </w:p>
              </w:tc>
              <w:tc>
                <w:tcPr>
                  <w:tcW w:w="1382" w:type="pct"/>
                  <w:noWrap w:val="0"/>
                  <w:vAlign w:val="center"/>
                </w:tcPr>
                <w:p>
                  <w:pPr>
                    <w:pStyle w:val="38"/>
                    <w:bidi w:val="0"/>
                    <w:rPr>
                      <w:u w:val="single"/>
                    </w:rPr>
                  </w:pPr>
                  <w:r>
                    <w:rPr>
                      <w:rFonts w:hint="eastAsia"/>
                      <w:u w:val="single"/>
                    </w:rPr>
                    <w:t>送风系统</w:t>
                  </w:r>
                </w:p>
              </w:tc>
              <w:tc>
                <w:tcPr>
                  <w:tcW w:w="464" w:type="pct"/>
                  <w:noWrap w:val="0"/>
                  <w:vAlign w:val="center"/>
                </w:tcPr>
                <w:p>
                  <w:pPr>
                    <w:pStyle w:val="38"/>
                    <w:bidi w:val="0"/>
                    <w:rPr>
                      <w:u w:val="single"/>
                    </w:rPr>
                  </w:pPr>
                  <w:r>
                    <w:rPr>
                      <w:rFonts w:hint="eastAsia"/>
                      <w:u w:val="single"/>
                    </w:rPr>
                    <w:t>4</w:t>
                  </w:r>
                </w:p>
              </w:tc>
              <w:tc>
                <w:tcPr>
                  <w:tcW w:w="422" w:type="pct"/>
                  <w:noWrap w:val="0"/>
                  <w:vAlign w:val="center"/>
                </w:tcPr>
                <w:p>
                  <w:pPr>
                    <w:pStyle w:val="38"/>
                    <w:bidi w:val="0"/>
                    <w:rPr>
                      <w:u w:val="single"/>
                    </w:rPr>
                  </w:pPr>
                  <w:r>
                    <w:rPr>
                      <w:rFonts w:hint="eastAsia"/>
                      <w:u w:val="single"/>
                    </w:rPr>
                    <w:t>台</w:t>
                  </w:r>
                </w:p>
              </w:tc>
              <w:tc>
                <w:tcPr>
                  <w:tcW w:w="929" w:type="pct"/>
                  <w:noWrap w:val="0"/>
                  <w:vAlign w:val="center"/>
                </w:tcPr>
                <w:p>
                  <w:pPr>
                    <w:pStyle w:val="47"/>
                    <w:rPr>
                      <w:rFonts w:hint="eastAsia"/>
                      <w:u w:val="single"/>
                    </w:rPr>
                  </w:pPr>
                </w:p>
              </w:tc>
              <w:tc>
                <w:tcPr>
                  <w:tcW w:w="1393" w:type="pct"/>
                  <w:noWrap w:val="0"/>
                  <w:vAlign w:val="center"/>
                </w:tcPr>
                <w:p>
                  <w:pPr>
                    <w:pStyle w:val="47"/>
                    <w:rPr>
                      <w:rFonts w:hint="eastAsia"/>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07" w:type="pct"/>
                  <w:noWrap w:val="0"/>
                  <w:vAlign w:val="center"/>
                </w:tcPr>
                <w:p>
                  <w:pPr>
                    <w:pStyle w:val="47"/>
                    <w:rPr>
                      <w:rFonts w:hint="default" w:eastAsia="宋体"/>
                      <w:u w:val="single"/>
                      <w:lang w:val="en-US" w:eastAsia="zh-CN"/>
                    </w:rPr>
                  </w:pPr>
                  <w:r>
                    <w:rPr>
                      <w:rFonts w:hint="eastAsia"/>
                      <w:u w:val="single"/>
                      <w:lang w:val="en-US" w:eastAsia="zh-CN"/>
                    </w:rPr>
                    <w:t>18</w:t>
                  </w:r>
                </w:p>
              </w:tc>
              <w:tc>
                <w:tcPr>
                  <w:tcW w:w="1382" w:type="pct"/>
                  <w:noWrap w:val="0"/>
                  <w:vAlign w:val="center"/>
                </w:tcPr>
                <w:p>
                  <w:pPr>
                    <w:pStyle w:val="38"/>
                    <w:bidi w:val="0"/>
                    <w:rPr>
                      <w:u w:val="single"/>
                    </w:rPr>
                  </w:pPr>
                  <w:r>
                    <w:rPr>
                      <w:rFonts w:hint="eastAsia"/>
                      <w:u w:val="single"/>
                    </w:rPr>
                    <w:t>风幕机</w:t>
                  </w:r>
                </w:p>
              </w:tc>
              <w:tc>
                <w:tcPr>
                  <w:tcW w:w="464" w:type="pct"/>
                  <w:noWrap w:val="0"/>
                  <w:vAlign w:val="center"/>
                </w:tcPr>
                <w:p>
                  <w:pPr>
                    <w:pStyle w:val="38"/>
                    <w:bidi w:val="0"/>
                    <w:rPr>
                      <w:u w:val="single"/>
                    </w:rPr>
                  </w:pPr>
                  <w:r>
                    <w:rPr>
                      <w:rFonts w:hint="eastAsia"/>
                      <w:u w:val="single"/>
                    </w:rPr>
                    <w:t>1</w:t>
                  </w:r>
                </w:p>
              </w:tc>
              <w:tc>
                <w:tcPr>
                  <w:tcW w:w="422" w:type="pct"/>
                  <w:noWrap w:val="0"/>
                  <w:vAlign w:val="center"/>
                </w:tcPr>
                <w:p>
                  <w:pPr>
                    <w:pStyle w:val="38"/>
                    <w:bidi w:val="0"/>
                    <w:rPr>
                      <w:u w:val="single"/>
                    </w:rPr>
                  </w:pPr>
                  <w:r>
                    <w:rPr>
                      <w:rFonts w:hint="eastAsia"/>
                      <w:u w:val="single"/>
                    </w:rPr>
                    <w:t>台</w:t>
                  </w:r>
                </w:p>
              </w:tc>
              <w:tc>
                <w:tcPr>
                  <w:tcW w:w="929" w:type="pct"/>
                  <w:noWrap w:val="0"/>
                  <w:vAlign w:val="center"/>
                </w:tcPr>
                <w:p>
                  <w:pPr>
                    <w:pStyle w:val="47"/>
                    <w:rPr>
                      <w:rFonts w:hint="eastAsia"/>
                      <w:u w:val="single"/>
                    </w:rPr>
                  </w:pPr>
                </w:p>
              </w:tc>
              <w:tc>
                <w:tcPr>
                  <w:tcW w:w="1393" w:type="pct"/>
                  <w:noWrap w:val="0"/>
                  <w:vAlign w:val="center"/>
                </w:tcPr>
                <w:p>
                  <w:pPr>
                    <w:pStyle w:val="47"/>
                    <w:rPr>
                      <w:rFonts w:hint="eastAsia"/>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07" w:type="pct"/>
                  <w:noWrap w:val="0"/>
                  <w:vAlign w:val="center"/>
                </w:tcPr>
                <w:p>
                  <w:pPr>
                    <w:pStyle w:val="47"/>
                    <w:rPr>
                      <w:rFonts w:hint="default" w:eastAsia="宋体"/>
                      <w:u w:val="single"/>
                      <w:lang w:val="en-US" w:eastAsia="zh-CN"/>
                    </w:rPr>
                  </w:pPr>
                  <w:r>
                    <w:rPr>
                      <w:rFonts w:hint="eastAsia"/>
                      <w:u w:val="single"/>
                      <w:lang w:val="en-US" w:eastAsia="zh-CN"/>
                    </w:rPr>
                    <w:t>19</w:t>
                  </w:r>
                </w:p>
              </w:tc>
              <w:tc>
                <w:tcPr>
                  <w:tcW w:w="1382" w:type="pct"/>
                  <w:noWrap w:val="0"/>
                  <w:vAlign w:val="center"/>
                </w:tcPr>
                <w:p>
                  <w:pPr>
                    <w:pStyle w:val="38"/>
                    <w:bidi w:val="0"/>
                    <w:rPr>
                      <w:u w:val="single"/>
                    </w:rPr>
                  </w:pPr>
                  <w:r>
                    <w:rPr>
                      <w:rFonts w:hint="eastAsia"/>
                      <w:u w:val="single"/>
                    </w:rPr>
                    <w:t>自动洗车机</w:t>
                  </w:r>
                </w:p>
              </w:tc>
              <w:tc>
                <w:tcPr>
                  <w:tcW w:w="464" w:type="pct"/>
                  <w:noWrap w:val="0"/>
                  <w:vAlign w:val="center"/>
                </w:tcPr>
                <w:p>
                  <w:pPr>
                    <w:pStyle w:val="38"/>
                    <w:bidi w:val="0"/>
                    <w:rPr>
                      <w:rFonts w:hint="eastAsia" w:eastAsia="宋体"/>
                      <w:u w:val="single"/>
                      <w:lang w:eastAsia="zh-CN"/>
                    </w:rPr>
                  </w:pPr>
                  <w:r>
                    <w:rPr>
                      <w:rFonts w:hint="eastAsia"/>
                      <w:u w:val="single"/>
                      <w:lang w:val="en-US" w:eastAsia="zh-CN"/>
                    </w:rPr>
                    <w:t>1</w:t>
                  </w:r>
                </w:p>
              </w:tc>
              <w:tc>
                <w:tcPr>
                  <w:tcW w:w="422" w:type="pct"/>
                  <w:noWrap w:val="0"/>
                  <w:vAlign w:val="center"/>
                </w:tcPr>
                <w:p>
                  <w:pPr>
                    <w:pStyle w:val="38"/>
                    <w:bidi w:val="0"/>
                    <w:rPr>
                      <w:rFonts w:hint="eastAsia" w:eastAsia="宋体"/>
                      <w:u w:val="single"/>
                      <w:lang w:eastAsia="zh-CN"/>
                    </w:rPr>
                  </w:pPr>
                  <w:r>
                    <w:rPr>
                      <w:rFonts w:hint="eastAsia"/>
                      <w:u w:val="single"/>
                      <w:lang w:eastAsia="zh-CN"/>
                    </w:rPr>
                    <w:t>套</w:t>
                  </w:r>
                </w:p>
              </w:tc>
              <w:tc>
                <w:tcPr>
                  <w:tcW w:w="929" w:type="pct"/>
                  <w:noWrap w:val="0"/>
                  <w:vAlign w:val="center"/>
                </w:tcPr>
                <w:p>
                  <w:pPr>
                    <w:pStyle w:val="47"/>
                    <w:rPr>
                      <w:rFonts w:hint="eastAsia"/>
                      <w:u w:val="single"/>
                    </w:rPr>
                  </w:pPr>
                </w:p>
              </w:tc>
              <w:tc>
                <w:tcPr>
                  <w:tcW w:w="1393" w:type="pct"/>
                  <w:noWrap w:val="0"/>
                  <w:vAlign w:val="center"/>
                </w:tcPr>
                <w:p>
                  <w:pPr>
                    <w:pStyle w:val="47"/>
                    <w:rPr>
                      <w:rFonts w:hint="eastAsia"/>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07" w:type="pct"/>
                  <w:noWrap w:val="0"/>
                  <w:vAlign w:val="center"/>
                </w:tcPr>
                <w:p>
                  <w:pPr>
                    <w:pStyle w:val="47"/>
                    <w:rPr>
                      <w:rFonts w:hint="default" w:eastAsia="宋体"/>
                      <w:u w:val="single"/>
                      <w:lang w:val="en-US" w:eastAsia="zh-CN"/>
                    </w:rPr>
                  </w:pPr>
                  <w:r>
                    <w:rPr>
                      <w:rFonts w:hint="eastAsia"/>
                      <w:u w:val="single"/>
                      <w:lang w:val="en-US" w:eastAsia="zh-CN"/>
                    </w:rPr>
                    <w:t>20</w:t>
                  </w:r>
                </w:p>
              </w:tc>
              <w:tc>
                <w:tcPr>
                  <w:tcW w:w="1382" w:type="pct"/>
                  <w:noWrap w:val="0"/>
                  <w:vAlign w:val="center"/>
                </w:tcPr>
                <w:p>
                  <w:pPr>
                    <w:pStyle w:val="38"/>
                    <w:bidi w:val="0"/>
                    <w:rPr>
                      <w:rFonts w:hint="eastAsia" w:eastAsia="宋体"/>
                      <w:u w:val="single"/>
                      <w:lang w:eastAsia="zh-CN"/>
                    </w:rPr>
                  </w:pPr>
                  <w:r>
                    <w:rPr>
                      <w:rFonts w:hint="eastAsia"/>
                      <w:u w:val="single"/>
                      <w:lang w:eastAsia="zh-CN"/>
                    </w:rPr>
                    <w:t>渗滤液收集池</w:t>
                  </w:r>
                </w:p>
              </w:tc>
              <w:tc>
                <w:tcPr>
                  <w:tcW w:w="464" w:type="pct"/>
                  <w:noWrap w:val="0"/>
                  <w:vAlign w:val="center"/>
                </w:tcPr>
                <w:p>
                  <w:pPr>
                    <w:pStyle w:val="38"/>
                    <w:bidi w:val="0"/>
                    <w:rPr>
                      <w:rFonts w:hint="default"/>
                      <w:u w:val="single"/>
                      <w:lang w:val="en-US" w:eastAsia="zh-CN"/>
                    </w:rPr>
                  </w:pPr>
                  <w:r>
                    <w:rPr>
                      <w:rFonts w:hint="eastAsia"/>
                      <w:u w:val="single"/>
                      <w:lang w:val="en-US" w:eastAsia="zh-CN"/>
                    </w:rPr>
                    <w:t>1</w:t>
                  </w:r>
                </w:p>
              </w:tc>
              <w:tc>
                <w:tcPr>
                  <w:tcW w:w="422" w:type="pct"/>
                  <w:noWrap w:val="0"/>
                  <w:vAlign w:val="center"/>
                </w:tcPr>
                <w:p>
                  <w:pPr>
                    <w:pStyle w:val="38"/>
                    <w:bidi w:val="0"/>
                    <w:rPr>
                      <w:rFonts w:hint="eastAsia"/>
                      <w:u w:val="single"/>
                      <w:lang w:eastAsia="zh-CN"/>
                    </w:rPr>
                  </w:pPr>
                  <w:r>
                    <w:rPr>
                      <w:rFonts w:hint="eastAsia"/>
                      <w:u w:val="single"/>
                      <w:lang w:eastAsia="zh-CN"/>
                    </w:rPr>
                    <w:t>座</w:t>
                  </w:r>
                </w:p>
              </w:tc>
              <w:tc>
                <w:tcPr>
                  <w:tcW w:w="929" w:type="pct"/>
                  <w:noWrap w:val="0"/>
                  <w:vAlign w:val="center"/>
                </w:tcPr>
                <w:p>
                  <w:pPr>
                    <w:pStyle w:val="47"/>
                    <w:rPr>
                      <w:rFonts w:hint="eastAsia"/>
                      <w:u w:val="single"/>
                    </w:rPr>
                  </w:pPr>
                </w:p>
              </w:tc>
              <w:tc>
                <w:tcPr>
                  <w:tcW w:w="1393" w:type="pct"/>
                  <w:noWrap w:val="0"/>
                  <w:vAlign w:val="center"/>
                </w:tcPr>
                <w:p>
                  <w:pPr>
                    <w:pStyle w:val="47"/>
                    <w:rPr>
                      <w:rFonts w:hint="eastAsia"/>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07" w:type="pct"/>
                  <w:noWrap w:val="0"/>
                  <w:vAlign w:val="center"/>
                </w:tcPr>
                <w:p>
                  <w:pPr>
                    <w:pStyle w:val="47"/>
                    <w:rPr>
                      <w:rFonts w:hint="default" w:eastAsia="宋体"/>
                      <w:u w:val="single"/>
                      <w:lang w:val="en-US" w:eastAsia="zh-CN"/>
                    </w:rPr>
                  </w:pPr>
                  <w:r>
                    <w:rPr>
                      <w:rFonts w:hint="eastAsia"/>
                      <w:u w:val="single"/>
                      <w:lang w:val="en-US" w:eastAsia="zh-CN"/>
                    </w:rPr>
                    <w:t>21</w:t>
                  </w:r>
                </w:p>
              </w:tc>
              <w:tc>
                <w:tcPr>
                  <w:tcW w:w="1382" w:type="pct"/>
                  <w:noWrap w:val="0"/>
                  <w:vAlign w:val="center"/>
                </w:tcPr>
                <w:p>
                  <w:pPr>
                    <w:pStyle w:val="38"/>
                    <w:bidi w:val="0"/>
                    <w:rPr>
                      <w:rFonts w:hint="eastAsia"/>
                      <w:u w:val="single"/>
                      <w:lang w:eastAsia="zh-CN"/>
                    </w:rPr>
                  </w:pPr>
                  <w:r>
                    <w:rPr>
                      <w:rFonts w:hint="eastAsia"/>
                      <w:u w:val="single"/>
                      <w:lang w:eastAsia="zh-CN"/>
                    </w:rPr>
                    <w:t>水泵</w:t>
                  </w:r>
                </w:p>
              </w:tc>
              <w:tc>
                <w:tcPr>
                  <w:tcW w:w="464" w:type="pct"/>
                  <w:noWrap w:val="0"/>
                  <w:vAlign w:val="center"/>
                </w:tcPr>
                <w:p>
                  <w:pPr>
                    <w:pStyle w:val="38"/>
                    <w:bidi w:val="0"/>
                    <w:rPr>
                      <w:rFonts w:hint="default"/>
                      <w:u w:val="single"/>
                      <w:lang w:val="en-US" w:eastAsia="zh-CN"/>
                    </w:rPr>
                  </w:pPr>
                  <w:r>
                    <w:rPr>
                      <w:rFonts w:hint="eastAsia"/>
                      <w:u w:val="single"/>
                      <w:lang w:val="en-US" w:eastAsia="zh-CN"/>
                    </w:rPr>
                    <w:t>1</w:t>
                  </w:r>
                </w:p>
              </w:tc>
              <w:tc>
                <w:tcPr>
                  <w:tcW w:w="422" w:type="pct"/>
                  <w:noWrap w:val="0"/>
                  <w:vAlign w:val="center"/>
                </w:tcPr>
                <w:p>
                  <w:pPr>
                    <w:pStyle w:val="38"/>
                    <w:bidi w:val="0"/>
                    <w:rPr>
                      <w:rFonts w:hint="eastAsia"/>
                      <w:u w:val="single"/>
                      <w:lang w:eastAsia="zh-CN"/>
                    </w:rPr>
                  </w:pPr>
                  <w:r>
                    <w:rPr>
                      <w:rFonts w:hint="eastAsia"/>
                      <w:u w:val="single"/>
                      <w:lang w:eastAsia="zh-CN"/>
                    </w:rPr>
                    <w:t>台</w:t>
                  </w:r>
                </w:p>
              </w:tc>
              <w:tc>
                <w:tcPr>
                  <w:tcW w:w="929" w:type="pct"/>
                  <w:noWrap w:val="0"/>
                  <w:vAlign w:val="center"/>
                </w:tcPr>
                <w:p>
                  <w:pPr>
                    <w:pStyle w:val="47"/>
                    <w:rPr>
                      <w:rFonts w:hint="eastAsia"/>
                      <w:u w:val="single"/>
                    </w:rPr>
                  </w:pPr>
                </w:p>
              </w:tc>
              <w:tc>
                <w:tcPr>
                  <w:tcW w:w="1393" w:type="pct"/>
                  <w:noWrap w:val="0"/>
                  <w:vAlign w:val="center"/>
                </w:tcPr>
                <w:p>
                  <w:pPr>
                    <w:pStyle w:val="47"/>
                    <w:rPr>
                      <w:rFonts w:hint="eastAsia"/>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07" w:type="pct"/>
                  <w:noWrap w:val="0"/>
                  <w:vAlign w:val="center"/>
                </w:tcPr>
                <w:p>
                  <w:pPr>
                    <w:pStyle w:val="47"/>
                    <w:rPr>
                      <w:rFonts w:hint="default"/>
                      <w:u w:val="single"/>
                      <w:lang w:val="en-US" w:eastAsia="zh-CN"/>
                    </w:rPr>
                  </w:pPr>
                  <w:r>
                    <w:rPr>
                      <w:rFonts w:hint="eastAsia"/>
                      <w:u w:val="single"/>
                      <w:lang w:val="en-US" w:eastAsia="zh-CN"/>
                    </w:rPr>
                    <w:t>22</w:t>
                  </w:r>
                </w:p>
              </w:tc>
              <w:tc>
                <w:tcPr>
                  <w:tcW w:w="1382" w:type="pct"/>
                  <w:noWrap w:val="0"/>
                  <w:vAlign w:val="center"/>
                </w:tcPr>
                <w:p>
                  <w:pPr>
                    <w:pStyle w:val="38"/>
                    <w:bidi w:val="0"/>
                    <w:rPr>
                      <w:rFonts w:hint="eastAsia"/>
                      <w:u w:val="single"/>
                      <w:lang w:eastAsia="zh-CN"/>
                    </w:rPr>
                  </w:pPr>
                  <w:r>
                    <w:rPr>
                      <w:rFonts w:hint="eastAsia"/>
                      <w:u w:val="single"/>
                      <w:lang w:eastAsia="zh-CN"/>
                    </w:rPr>
                    <w:t>垃圾转运车</w:t>
                  </w:r>
                </w:p>
              </w:tc>
              <w:tc>
                <w:tcPr>
                  <w:tcW w:w="464" w:type="pct"/>
                  <w:noWrap w:val="0"/>
                  <w:vAlign w:val="center"/>
                </w:tcPr>
                <w:p>
                  <w:pPr>
                    <w:pStyle w:val="38"/>
                    <w:bidi w:val="0"/>
                    <w:rPr>
                      <w:rFonts w:hint="eastAsia"/>
                      <w:u w:val="single"/>
                      <w:lang w:val="en-US" w:eastAsia="zh-CN"/>
                    </w:rPr>
                  </w:pPr>
                </w:p>
              </w:tc>
              <w:tc>
                <w:tcPr>
                  <w:tcW w:w="422" w:type="pct"/>
                  <w:noWrap w:val="0"/>
                  <w:vAlign w:val="center"/>
                </w:tcPr>
                <w:p>
                  <w:pPr>
                    <w:pStyle w:val="38"/>
                    <w:bidi w:val="0"/>
                    <w:rPr>
                      <w:rFonts w:hint="eastAsia"/>
                      <w:u w:val="single"/>
                      <w:lang w:eastAsia="zh-CN"/>
                    </w:rPr>
                  </w:pPr>
                  <w:r>
                    <w:rPr>
                      <w:rFonts w:hint="eastAsia"/>
                      <w:u w:val="single"/>
                      <w:lang w:eastAsia="zh-CN"/>
                    </w:rPr>
                    <w:t>台</w:t>
                  </w:r>
                </w:p>
              </w:tc>
              <w:tc>
                <w:tcPr>
                  <w:tcW w:w="929" w:type="pct"/>
                  <w:noWrap w:val="0"/>
                  <w:vAlign w:val="center"/>
                </w:tcPr>
                <w:p>
                  <w:pPr>
                    <w:pStyle w:val="47"/>
                    <w:rPr>
                      <w:rFonts w:hint="default" w:eastAsia="宋体"/>
                      <w:u w:val="single"/>
                      <w:lang w:val="en-US" w:eastAsia="zh-CN"/>
                    </w:rPr>
                  </w:pPr>
                  <w:r>
                    <w:rPr>
                      <w:rFonts w:hint="eastAsia"/>
                      <w:u w:val="single"/>
                      <w:lang w:val="en-US" w:eastAsia="zh-CN"/>
                    </w:rPr>
                    <w:t>ZBH5310ZXZZE6</w:t>
                  </w:r>
                </w:p>
              </w:tc>
              <w:tc>
                <w:tcPr>
                  <w:tcW w:w="1393" w:type="pct"/>
                  <w:noWrap w:val="0"/>
                  <w:vAlign w:val="center"/>
                </w:tcPr>
                <w:p>
                  <w:pPr>
                    <w:pStyle w:val="47"/>
                    <w:rPr>
                      <w:rFonts w:hint="eastAsia"/>
                      <w:u w:val="single"/>
                    </w:rPr>
                  </w:pPr>
                </w:p>
              </w:tc>
            </w:tr>
          </w:tbl>
          <w:p>
            <w:pPr>
              <w:pStyle w:val="14"/>
              <w:kinsoku w:val="0"/>
              <w:overflowPunct w:val="0"/>
              <w:spacing w:before="104" w:line="360" w:lineRule="auto"/>
              <w:rPr>
                <w:rFonts w:hint="eastAsia" w:eastAsia="宋体"/>
                <w:lang w:eastAsia="zh-CN"/>
              </w:rPr>
            </w:pPr>
            <w:r>
              <w:rPr>
                <w:u w:val="single"/>
              </w:rPr>
              <w:t>注：建设单位承诺本项目采购、使用的所有设备中不存在国家明令淘汰类的加工设备</w:t>
            </w:r>
            <w:r>
              <w:rPr>
                <w:rFonts w:hint="eastAsia"/>
                <w:u w:val="single"/>
                <w:lang w:eastAsia="zh-CN"/>
              </w:rPr>
              <w:t>。</w:t>
            </w:r>
          </w:p>
          <w:p>
            <w:pPr>
              <w:numPr>
                <w:ilvl w:val="0"/>
                <w:numId w:val="3"/>
              </w:numPr>
              <w:bidi w:val="0"/>
              <w:ind w:left="80" w:leftChars="0" w:firstLineChars="0"/>
              <w:rPr>
                <w:rFonts w:hint="eastAsia"/>
                <w:u w:val="single"/>
                <w:lang w:eastAsia="zh-CN"/>
              </w:rPr>
            </w:pPr>
            <w:r>
              <w:rPr>
                <w:rFonts w:hint="eastAsia"/>
                <w:u w:val="single"/>
                <w:lang w:eastAsia="zh-CN"/>
              </w:rPr>
              <w:t>原辅材料及理化性质</w:t>
            </w:r>
          </w:p>
          <w:p>
            <w:pPr>
              <w:bidi w:val="0"/>
              <w:rPr>
                <w:rFonts w:hint="eastAsia" w:cs="Times New Roman"/>
                <w:u w:val="single"/>
                <w:lang w:val="en-US" w:eastAsia="zh-CN"/>
              </w:rPr>
            </w:pPr>
            <w:r>
              <w:rPr>
                <w:rFonts w:cs="Times New Roman"/>
                <w:u w:val="single"/>
              </w:rPr>
              <w:t>本项目生产需要的主要原辅材料用量情况见下表</w:t>
            </w:r>
            <w:r>
              <w:rPr>
                <w:rFonts w:hint="eastAsia" w:cs="Times New Roman"/>
                <w:u w:val="single"/>
                <w:lang w:val="en-US"/>
              </w:rPr>
              <w:t>2-</w:t>
            </w:r>
            <w:r>
              <w:rPr>
                <w:rFonts w:hint="eastAsia" w:cs="Times New Roman"/>
                <w:u w:val="single"/>
                <w:lang w:val="en-US" w:eastAsia="zh-CN"/>
              </w:rPr>
              <w:t>5</w:t>
            </w:r>
          </w:p>
          <w:p>
            <w:pPr>
              <w:pStyle w:val="39"/>
              <w:rPr>
                <w:u w:val="single"/>
              </w:rPr>
            </w:pPr>
            <w:r>
              <w:rPr>
                <w:u w:val="single"/>
              </w:rPr>
              <w:t>表</w:t>
            </w:r>
            <w:r>
              <w:rPr>
                <w:rFonts w:hint="eastAsia"/>
                <w:u w:val="single"/>
                <w:lang w:val="en-US"/>
              </w:rPr>
              <w:t>2-</w:t>
            </w:r>
            <w:r>
              <w:rPr>
                <w:rFonts w:hint="eastAsia"/>
                <w:u w:val="single"/>
                <w:lang w:val="en-US" w:eastAsia="zh-CN"/>
              </w:rPr>
              <w:t>5</w:t>
            </w:r>
            <w:r>
              <w:rPr>
                <w:rFonts w:hint="eastAsia"/>
                <w:u w:val="single"/>
                <w:lang w:val="en-US"/>
              </w:rPr>
              <w:t xml:space="preserve">  </w:t>
            </w:r>
            <w:r>
              <w:rPr>
                <w:u w:val="single"/>
              </w:rPr>
              <w:t>主要原、辅材料和能源表</w:t>
            </w:r>
          </w:p>
          <w:tbl>
            <w:tblPr>
              <w:tblStyle w:val="32"/>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1709"/>
              <w:gridCol w:w="2515"/>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52" w:type="dxa"/>
                  <w:vAlign w:val="center"/>
                </w:tcPr>
                <w:p>
                  <w:pPr>
                    <w:pStyle w:val="38"/>
                    <w:rPr>
                      <w:rFonts w:eastAsia="Times New Roman"/>
                      <w:u w:val="single"/>
                      <w:lang w:val="en-US"/>
                    </w:rPr>
                  </w:pPr>
                  <w:r>
                    <w:rPr>
                      <w:rFonts w:eastAsia="Times New Roman"/>
                      <w:u w:val="single"/>
                      <w:lang w:val="en-US"/>
                    </w:rPr>
                    <w:t>名称</w:t>
                  </w:r>
                </w:p>
              </w:tc>
              <w:tc>
                <w:tcPr>
                  <w:tcW w:w="1709" w:type="dxa"/>
                  <w:vAlign w:val="center"/>
                </w:tcPr>
                <w:p>
                  <w:pPr>
                    <w:pStyle w:val="38"/>
                    <w:rPr>
                      <w:rFonts w:eastAsia="Times New Roman"/>
                      <w:u w:val="single"/>
                      <w:lang w:val="en-US"/>
                    </w:rPr>
                  </w:pPr>
                  <w:r>
                    <w:rPr>
                      <w:rFonts w:eastAsia="Times New Roman"/>
                      <w:u w:val="single"/>
                      <w:lang w:val="en-US"/>
                    </w:rPr>
                    <w:t>年消耗量</w:t>
                  </w:r>
                </w:p>
              </w:tc>
              <w:tc>
                <w:tcPr>
                  <w:tcW w:w="2515" w:type="dxa"/>
                  <w:vAlign w:val="center"/>
                </w:tcPr>
                <w:p>
                  <w:pPr>
                    <w:pStyle w:val="38"/>
                    <w:rPr>
                      <w:rFonts w:eastAsia="Times New Roman"/>
                      <w:u w:val="single"/>
                      <w:lang w:val="en-US"/>
                    </w:rPr>
                  </w:pPr>
                  <w:r>
                    <w:rPr>
                      <w:rFonts w:eastAsia="Times New Roman"/>
                      <w:u w:val="single"/>
                      <w:lang w:val="en-US"/>
                    </w:rPr>
                    <w:t>备注</w:t>
                  </w:r>
                </w:p>
              </w:tc>
              <w:tc>
                <w:tcPr>
                  <w:tcW w:w="2982" w:type="dxa"/>
                  <w:vAlign w:val="center"/>
                </w:tcPr>
                <w:p>
                  <w:pPr>
                    <w:pStyle w:val="38"/>
                    <w:rPr>
                      <w:rFonts w:eastAsia="Times New Roman"/>
                      <w:u w:val="single"/>
                      <w:lang w:val="en-US"/>
                    </w:rPr>
                  </w:pPr>
                  <w:r>
                    <w:rPr>
                      <w:rFonts w:eastAsia="Times New Roman"/>
                      <w:u w:val="single"/>
                      <w:lang w:val="en-US"/>
                    </w:rPr>
                    <w:t>储存方式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352" w:type="dxa"/>
                  <w:vAlign w:val="center"/>
                </w:tcPr>
                <w:p>
                  <w:pPr>
                    <w:pStyle w:val="38"/>
                    <w:rPr>
                      <w:rFonts w:hint="eastAsia" w:eastAsia="宋体"/>
                      <w:u w:val="single"/>
                      <w:lang w:val="en-US" w:eastAsia="zh-CN"/>
                    </w:rPr>
                  </w:pPr>
                  <w:r>
                    <w:rPr>
                      <w:rFonts w:hint="eastAsia" w:eastAsia="宋体"/>
                      <w:u w:val="single"/>
                      <w:lang w:val="en-US" w:eastAsia="zh-CN"/>
                    </w:rPr>
                    <w:t>植物液</w:t>
                  </w:r>
                </w:p>
              </w:tc>
              <w:tc>
                <w:tcPr>
                  <w:tcW w:w="1709" w:type="dxa"/>
                  <w:vAlign w:val="center"/>
                </w:tcPr>
                <w:p>
                  <w:pPr>
                    <w:pStyle w:val="38"/>
                    <w:rPr>
                      <w:rFonts w:hint="default" w:eastAsia="Times New Roman"/>
                      <w:u w:val="single"/>
                      <w:lang w:val="en-US"/>
                    </w:rPr>
                  </w:pPr>
                  <w:r>
                    <w:rPr>
                      <w:rFonts w:hint="eastAsia" w:eastAsia="宋体"/>
                      <w:u w:val="single"/>
                      <w:lang w:val="en-US" w:eastAsia="zh-CN"/>
                    </w:rPr>
                    <w:t>0.01kg</w:t>
                  </w:r>
                </w:p>
              </w:tc>
              <w:tc>
                <w:tcPr>
                  <w:tcW w:w="2515" w:type="dxa"/>
                  <w:vAlign w:val="center"/>
                </w:tcPr>
                <w:p>
                  <w:pPr>
                    <w:pStyle w:val="38"/>
                    <w:rPr>
                      <w:rFonts w:hint="default" w:eastAsia="宋体"/>
                      <w:u w:val="single"/>
                      <w:lang w:val="en-US" w:eastAsia="zh-CN"/>
                    </w:rPr>
                  </w:pPr>
                  <w:r>
                    <w:rPr>
                      <w:rFonts w:hint="eastAsia" w:eastAsia="宋体"/>
                      <w:u w:val="single"/>
                      <w:lang w:val="en-US" w:eastAsia="zh-CN"/>
                    </w:rPr>
                    <w:t>用于空间异味喷淋系统</w:t>
                  </w:r>
                  <w:r>
                    <w:rPr>
                      <w:rFonts w:hint="eastAsia" w:eastAsia="Times New Roman"/>
                      <w:u w:val="single"/>
                      <w:lang w:val="en-US"/>
                    </w:rPr>
                    <w:t>；最大储存量</w:t>
                  </w:r>
                  <w:r>
                    <w:rPr>
                      <w:rFonts w:hint="eastAsia" w:eastAsia="宋体"/>
                      <w:u w:val="single"/>
                      <w:lang w:val="en-US" w:eastAsia="zh-CN"/>
                    </w:rPr>
                    <w:t>0.01kg</w:t>
                  </w:r>
                </w:p>
              </w:tc>
              <w:tc>
                <w:tcPr>
                  <w:tcW w:w="2982" w:type="dxa"/>
                  <w:vAlign w:val="center"/>
                </w:tcPr>
                <w:p>
                  <w:pPr>
                    <w:pStyle w:val="38"/>
                    <w:jc w:val="both"/>
                    <w:rPr>
                      <w:rFonts w:eastAsia="Times New Roman"/>
                      <w:u w:val="single"/>
                      <w:lang w:val="en-US"/>
                    </w:rPr>
                  </w:pPr>
                  <w:r>
                    <w:rPr>
                      <w:rFonts w:hint="eastAsia" w:eastAsia="宋体"/>
                      <w:u w:val="single"/>
                      <w:lang w:val="en-US" w:eastAsia="zh-CN"/>
                    </w:rPr>
                    <w:t>压缩车间右侧储藏室</w:t>
                  </w:r>
                  <w:r>
                    <w:rPr>
                      <w:rFonts w:hint="eastAsia" w:eastAsia="Times New Roman"/>
                      <w:u w:val="single"/>
                      <w:lang w:val="en-US"/>
                    </w:rPr>
                    <w:t>，</w:t>
                  </w:r>
                  <w:r>
                    <w:rPr>
                      <w:rFonts w:hint="eastAsia" w:eastAsia="宋体"/>
                      <w:u w:val="single"/>
                      <w:lang w:val="en-US" w:eastAsia="zh-CN"/>
                    </w:rPr>
                    <w:t>5</w:t>
                  </w:r>
                  <w:r>
                    <w:rPr>
                      <w:rFonts w:eastAsia="Times New Roman"/>
                      <w:u w:val="single"/>
                      <w:lang w:val="en-US"/>
                    </w:rPr>
                    <w:t>m</w:t>
                  </w:r>
                  <w:r>
                    <w:rPr>
                      <w:rFonts w:eastAsia="Times New Roman"/>
                      <w:u w:val="single"/>
                      <w:vertAlign w:val="superscript"/>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52" w:type="dxa"/>
                  <w:vAlign w:val="center"/>
                </w:tcPr>
                <w:p>
                  <w:pPr>
                    <w:pStyle w:val="38"/>
                    <w:rPr>
                      <w:rFonts w:eastAsia="Times New Roman"/>
                      <w:u w:val="single"/>
                      <w:lang w:val="en-US"/>
                    </w:rPr>
                  </w:pPr>
                  <w:r>
                    <w:rPr>
                      <w:rFonts w:eastAsia="Times New Roman"/>
                      <w:u w:val="single"/>
                      <w:lang w:val="en-US"/>
                    </w:rPr>
                    <w:t>电</w:t>
                  </w:r>
                </w:p>
              </w:tc>
              <w:tc>
                <w:tcPr>
                  <w:tcW w:w="1709" w:type="dxa"/>
                  <w:vAlign w:val="center"/>
                </w:tcPr>
                <w:p>
                  <w:pPr>
                    <w:pStyle w:val="38"/>
                    <w:rPr>
                      <w:rFonts w:hint="default" w:eastAsia="宋体"/>
                      <w:u w:val="single"/>
                      <w:lang w:val="en-US" w:eastAsia="zh-CN"/>
                    </w:rPr>
                  </w:pPr>
                  <w:r>
                    <w:rPr>
                      <w:rFonts w:hint="eastAsia" w:eastAsia="宋体"/>
                      <w:u w:val="single"/>
                      <w:lang w:val="en-US" w:eastAsia="zh-CN"/>
                    </w:rPr>
                    <w:t>/</w:t>
                  </w:r>
                </w:p>
              </w:tc>
              <w:tc>
                <w:tcPr>
                  <w:tcW w:w="2515" w:type="dxa"/>
                  <w:vAlign w:val="center"/>
                </w:tcPr>
                <w:p>
                  <w:pPr>
                    <w:pStyle w:val="38"/>
                    <w:rPr>
                      <w:rFonts w:hint="eastAsia" w:eastAsia="宋体"/>
                      <w:u w:val="single"/>
                      <w:lang w:val="en-US" w:eastAsia="zh-CN"/>
                    </w:rPr>
                  </w:pPr>
                  <w:r>
                    <w:rPr>
                      <w:rFonts w:hint="eastAsia" w:eastAsia="宋体"/>
                      <w:u w:val="single"/>
                      <w:lang w:val="en-US" w:eastAsia="zh-CN"/>
                    </w:rPr>
                    <w:t>区域电网</w:t>
                  </w:r>
                </w:p>
              </w:tc>
              <w:tc>
                <w:tcPr>
                  <w:tcW w:w="2982" w:type="dxa"/>
                  <w:vAlign w:val="center"/>
                </w:tcPr>
                <w:p>
                  <w:pPr>
                    <w:pStyle w:val="38"/>
                    <w:rPr>
                      <w:rFonts w:eastAsia="Times New Roman"/>
                      <w:u w:val="single"/>
                      <w:lang w:val="en-US"/>
                    </w:rPr>
                  </w:pPr>
                  <w:r>
                    <w:rPr>
                      <w:rFonts w:eastAsia="Times New Roman"/>
                      <w:u w:val="singl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52" w:type="dxa"/>
                  <w:vAlign w:val="center"/>
                </w:tcPr>
                <w:p>
                  <w:pPr>
                    <w:pStyle w:val="38"/>
                    <w:rPr>
                      <w:rFonts w:eastAsia="Times New Roman"/>
                      <w:u w:val="single"/>
                      <w:lang w:val="en-US"/>
                    </w:rPr>
                  </w:pPr>
                  <w:r>
                    <w:rPr>
                      <w:rFonts w:eastAsia="Times New Roman"/>
                      <w:u w:val="single"/>
                      <w:lang w:val="en-US"/>
                    </w:rPr>
                    <w:t>水</w:t>
                  </w:r>
                </w:p>
              </w:tc>
              <w:tc>
                <w:tcPr>
                  <w:tcW w:w="1709" w:type="dxa"/>
                  <w:vAlign w:val="center"/>
                </w:tcPr>
                <w:p>
                  <w:pPr>
                    <w:pStyle w:val="38"/>
                    <w:rPr>
                      <w:rFonts w:eastAsia="Times New Roman"/>
                      <w:u w:val="single"/>
                      <w:lang w:val="en-US"/>
                    </w:rPr>
                  </w:pPr>
                  <w:r>
                    <w:rPr>
                      <w:rFonts w:hint="eastAsia" w:eastAsia="宋体"/>
                      <w:u w:val="single"/>
                      <w:lang w:val="en-US" w:eastAsia="zh-CN"/>
                    </w:rPr>
                    <w:t>1054</w:t>
                  </w:r>
                  <w:r>
                    <w:rPr>
                      <w:rFonts w:eastAsia="Times New Roman"/>
                      <w:u w:val="single"/>
                      <w:lang w:val="en-US"/>
                    </w:rPr>
                    <w:t>t</w:t>
                  </w:r>
                </w:p>
              </w:tc>
              <w:tc>
                <w:tcPr>
                  <w:tcW w:w="2515" w:type="dxa"/>
                  <w:vAlign w:val="center"/>
                </w:tcPr>
                <w:p>
                  <w:pPr>
                    <w:pStyle w:val="38"/>
                    <w:rPr>
                      <w:rFonts w:hint="eastAsia" w:eastAsia="宋体"/>
                      <w:u w:val="single"/>
                      <w:lang w:val="en-US" w:eastAsia="zh-CN"/>
                    </w:rPr>
                  </w:pPr>
                  <w:r>
                    <w:rPr>
                      <w:rFonts w:hint="eastAsia" w:eastAsia="宋体"/>
                      <w:u w:val="single"/>
                      <w:lang w:val="en-US" w:eastAsia="zh-CN"/>
                    </w:rPr>
                    <w:t>市政供水</w:t>
                  </w:r>
                </w:p>
              </w:tc>
              <w:tc>
                <w:tcPr>
                  <w:tcW w:w="2982" w:type="dxa"/>
                  <w:vAlign w:val="center"/>
                </w:tcPr>
                <w:p>
                  <w:pPr>
                    <w:pStyle w:val="38"/>
                    <w:rPr>
                      <w:rFonts w:eastAsia="Times New Roman"/>
                      <w:u w:val="single"/>
                      <w:lang w:val="en-US"/>
                    </w:rPr>
                  </w:pPr>
                  <w:r>
                    <w:rPr>
                      <w:rFonts w:eastAsia="Times New Roman"/>
                      <w:u w:val="single"/>
                      <w:lang w:val="en-US"/>
                    </w:rPr>
                    <w:t>/</w:t>
                  </w:r>
                </w:p>
              </w:tc>
            </w:tr>
          </w:tbl>
          <w:p>
            <w:pPr>
              <w:bidi w:val="0"/>
              <w:rPr>
                <w:rFonts w:hint="eastAsia"/>
                <w:lang w:eastAsia="zh-CN"/>
              </w:rPr>
            </w:pPr>
            <w:r>
              <w:rPr>
                <w:rFonts w:hint="eastAsia"/>
                <w:u w:val="single"/>
                <w:lang w:eastAsia="zh-CN"/>
              </w:rPr>
              <w:t>植物液：</w:t>
            </w:r>
            <w:r>
              <w:rPr>
                <w:rFonts w:hint="eastAsia"/>
                <w:u w:val="single"/>
                <w:lang w:val="en-US" w:eastAsia="zh-CN"/>
              </w:rPr>
              <w:t>易·柯露-植物型天然除臭剂</w:t>
            </w:r>
            <w:r>
              <w:rPr>
                <w:rFonts w:hint="eastAsia"/>
                <w:u w:val="single"/>
                <w:lang w:eastAsia="zh-CN"/>
              </w:rPr>
              <w:t>由商家提供，以丝兰、银杏叶、茶多酚、葡萄籽、樟科植物、桉叶油、松油等</w:t>
            </w:r>
            <w:r>
              <w:rPr>
                <w:rFonts w:hint="eastAsia"/>
                <w:u w:val="single"/>
                <w:lang w:val="en-US" w:eastAsia="zh-CN"/>
              </w:rPr>
              <w:t>300多种植物中提取的有效成分为原材料，配以对各种不同臭气分子的吸附分解原理而进行调配生产的一种除臭剂，</w:t>
            </w:r>
            <w:r>
              <w:rPr>
                <w:rFonts w:hint="eastAsia"/>
                <w:u w:val="single"/>
                <w:lang w:eastAsia="zh-CN"/>
              </w:rPr>
              <w:t>可以有效分解恶臭环境中的氨、有机胺、二氧化硫、硫化氢、甲硫醇等恶臭气体分子。</w:t>
            </w:r>
          </w:p>
          <w:p>
            <w:pPr>
              <w:pStyle w:val="9"/>
              <w:keepNext w:val="0"/>
              <w:keepLines w:val="0"/>
              <w:pageBreakBefore w:val="0"/>
              <w:widowControl w:val="0"/>
              <w:kinsoku/>
              <w:wordWrap w:val="0"/>
              <w:overflowPunct/>
              <w:topLinePunct w:val="0"/>
              <w:autoSpaceDE w:val="0"/>
              <w:autoSpaceDN w:val="0"/>
              <w:bidi w:val="0"/>
              <w:adjustRightInd/>
              <w:snapToGrid/>
              <w:spacing w:before="0" w:beforeLines="0" w:after="0" w:afterLines="0" w:line="360" w:lineRule="auto"/>
              <w:textAlignment w:val="auto"/>
              <w:rPr>
                <w:u w:val="single"/>
              </w:rPr>
            </w:pPr>
            <w:r>
              <w:rPr>
                <w:rFonts w:hint="eastAsia"/>
                <w:u w:val="single"/>
                <w:lang w:val="en-US"/>
              </w:rPr>
              <w:t>2.</w:t>
            </w:r>
            <w:r>
              <w:rPr>
                <w:rFonts w:hint="eastAsia"/>
                <w:u w:val="single"/>
                <w:lang w:val="en-US" w:eastAsia="zh-CN"/>
              </w:rPr>
              <w:t>1.</w:t>
            </w:r>
            <w:r>
              <w:rPr>
                <w:rFonts w:hint="eastAsia"/>
                <w:u w:val="single"/>
                <w:lang w:val="en-US"/>
              </w:rPr>
              <w:t>3</w:t>
            </w:r>
            <w:r>
              <w:rPr>
                <w:u w:val="single"/>
              </w:rPr>
              <w:t>工作制度及劳动定员</w:t>
            </w:r>
          </w:p>
          <w:p>
            <w:pPr>
              <w:bidi w:val="0"/>
              <w:rPr>
                <w:rFonts w:hint="eastAsia"/>
                <w:u w:val="single"/>
              </w:rPr>
            </w:pPr>
            <w:r>
              <w:rPr>
                <w:u w:val="single"/>
              </w:rPr>
              <w:t>转运站工作人员为5人，</w:t>
            </w:r>
            <w:r>
              <w:rPr>
                <w:rFonts w:hint="eastAsia"/>
                <w:u w:val="single"/>
              </w:rPr>
              <w:t>其中管理人员</w:t>
            </w:r>
            <w:r>
              <w:rPr>
                <w:u w:val="single"/>
              </w:rPr>
              <w:t>1</w:t>
            </w:r>
            <w:r>
              <w:rPr>
                <w:rFonts w:hint="eastAsia"/>
                <w:u w:val="single"/>
              </w:rPr>
              <w:t>人，压缩处理</w:t>
            </w:r>
            <w:r>
              <w:rPr>
                <w:rFonts w:hint="eastAsia"/>
                <w:u w:val="single"/>
                <w:lang w:val="en-US" w:eastAsia="zh-CN"/>
              </w:rPr>
              <w:t>2</w:t>
            </w:r>
            <w:r>
              <w:rPr>
                <w:rFonts w:hint="eastAsia"/>
                <w:u w:val="single"/>
              </w:rPr>
              <w:t>人，转运</w:t>
            </w:r>
            <w:r>
              <w:rPr>
                <w:rFonts w:hint="eastAsia"/>
                <w:u w:val="single"/>
                <w:lang w:val="en-US" w:eastAsia="zh-CN"/>
              </w:rPr>
              <w:t>2</w:t>
            </w:r>
            <w:r>
              <w:rPr>
                <w:rFonts w:hint="eastAsia"/>
                <w:u w:val="single"/>
              </w:rPr>
              <w:t>人，</w:t>
            </w:r>
            <w:r>
              <w:rPr>
                <w:u w:val="single"/>
              </w:rPr>
              <w:t>工作制度为每日</w:t>
            </w:r>
            <w:r>
              <w:rPr>
                <w:rFonts w:hint="eastAsia"/>
                <w:u w:val="single"/>
              </w:rPr>
              <w:t>一</w:t>
            </w:r>
            <w:r>
              <w:rPr>
                <w:u w:val="single"/>
              </w:rPr>
              <w:t>班制，每班8小时，转运站全年工作日365天</w:t>
            </w:r>
            <w:r>
              <w:rPr>
                <w:rFonts w:hint="eastAsia"/>
                <w:u w:val="single"/>
              </w:rPr>
              <w:t>。</w:t>
            </w:r>
          </w:p>
          <w:p>
            <w:pPr>
              <w:pStyle w:val="9"/>
              <w:keepNext w:val="0"/>
              <w:keepLines w:val="0"/>
              <w:pageBreakBefore w:val="0"/>
              <w:widowControl w:val="0"/>
              <w:kinsoku/>
              <w:wordWrap w:val="0"/>
              <w:overflowPunct/>
              <w:topLinePunct w:val="0"/>
              <w:autoSpaceDE w:val="0"/>
              <w:autoSpaceDN w:val="0"/>
              <w:bidi w:val="0"/>
              <w:adjustRightInd/>
              <w:snapToGrid/>
              <w:spacing w:before="0" w:beforeLines="0" w:after="0" w:afterLines="0" w:line="360" w:lineRule="auto"/>
              <w:textAlignment w:val="auto"/>
              <w:rPr>
                <w:rFonts w:hint="eastAsia"/>
                <w:lang w:val="en-US" w:eastAsia="zh-CN"/>
              </w:rPr>
            </w:pPr>
            <w:r>
              <w:rPr>
                <w:rFonts w:hint="eastAsia"/>
                <w:lang w:val="en-US" w:eastAsia="zh-CN"/>
              </w:rPr>
              <w:t xml:space="preserve">2.1.4 </w:t>
            </w:r>
            <w:r>
              <w:t>施工进度</w:t>
            </w:r>
          </w:p>
          <w:p>
            <w:pPr>
              <w:jc w:val="both"/>
              <w:rPr>
                <w:rFonts w:hint="default"/>
                <w:lang w:val="en-US" w:eastAsia="zh-CN"/>
              </w:rPr>
            </w:pPr>
            <w:r>
              <w:t>本项目计划预计</w:t>
            </w:r>
            <w:r>
              <w:rPr>
                <w:rFonts w:hint="eastAsia"/>
                <w:lang w:val="en-US" w:eastAsia="zh-CN"/>
              </w:rPr>
              <w:t>2022</w:t>
            </w:r>
            <w:r>
              <w:t>年</w:t>
            </w:r>
            <w:r>
              <w:rPr>
                <w:rFonts w:hint="eastAsia"/>
                <w:lang w:val="en-US" w:eastAsia="zh-CN"/>
              </w:rPr>
              <w:t>2</w:t>
            </w:r>
            <w:r>
              <w:t>月施工建设，建设单位计划于</w:t>
            </w:r>
            <w:r>
              <w:rPr>
                <w:rFonts w:hint="eastAsia"/>
                <w:lang w:val="en-US" w:eastAsia="zh-CN"/>
              </w:rPr>
              <w:t>2022</w:t>
            </w:r>
            <w:r>
              <w:t>年</w:t>
            </w:r>
            <w:r>
              <w:rPr>
                <w:rFonts w:hint="eastAsia"/>
                <w:lang w:val="en-US" w:eastAsia="zh-CN"/>
              </w:rPr>
              <w:t>10</w:t>
            </w:r>
            <w:r>
              <w:t>月份完成生产设备安装共</w:t>
            </w:r>
            <w:r>
              <w:rPr>
                <w:rFonts w:hint="eastAsia"/>
                <w:lang w:val="en-US" w:eastAsia="zh-CN"/>
              </w:rPr>
              <w:t>8</w:t>
            </w:r>
            <w:r>
              <w:t>个月，20</w:t>
            </w:r>
            <w:r>
              <w:rPr>
                <w:rFonts w:hint="eastAsia"/>
                <w:lang w:val="en-US" w:eastAsia="zh-CN"/>
              </w:rPr>
              <w:t>22</w:t>
            </w:r>
            <w:r>
              <w:t>年</w:t>
            </w:r>
            <w:r>
              <w:rPr>
                <w:rFonts w:hint="eastAsia"/>
                <w:lang w:val="en-US" w:eastAsia="zh-CN"/>
              </w:rPr>
              <w:t>11</w:t>
            </w:r>
            <w:r>
              <w:t>月项目投入使用。</w:t>
            </w:r>
          </w:p>
          <w:p>
            <w:pPr>
              <w:pStyle w:val="9"/>
              <w:keepNext w:val="0"/>
              <w:keepLines w:val="0"/>
              <w:pageBreakBefore w:val="0"/>
              <w:widowControl w:val="0"/>
              <w:kinsoku/>
              <w:wordWrap w:val="0"/>
              <w:overflowPunct/>
              <w:topLinePunct w:val="0"/>
              <w:autoSpaceDE w:val="0"/>
              <w:autoSpaceDN w:val="0"/>
              <w:bidi w:val="0"/>
              <w:adjustRightInd/>
              <w:snapToGrid/>
              <w:spacing w:before="0" w:beforeLines="0" w:after="0" w:afterLines="0" w:line="360" w:lineRule="auto"/>
              <w:textAlignment w:val="auto"/>
              <w:rPr>
                <w:u w:val="single"/>
              </w:rPr>
            </w:pPr>
            <w:r>
              <w:rPr>
                <w:rFonts w:hint="eastAsia"/>
                <w:u w:val="single"/>
                <w:lang w:val="en-US"/>
              </w:rPr>
              <w:t>2.</w:t>
            </w:r>
            <w:r>
              <w:rPr>
                <w:rFonts w:hint="eastAsia"/>
                <w:u w:val="single"/>
                <w:lang w:val="en-US" w:eastAsia="zh-CN"/>
              </w:rPr>
              <w:t>1.5</w:t>
            </w:r>
            <w:r>
              <w:rPr>
                <w:rFonts w:hint="eastAsia"/>
                <w:u w:val="single"/>
                <w:lang w:val="en-US"/>
              </w:rPr>
              <w:t xml:space="preserve"> </w:t>
            </w:r>
            <w:r>
              <w:rPr>
                <w:u w:val="single"/>
              </w:rPr>
              <w:t>项目公用</w:t>
            </w:r>
            <w:r>
              <w:rPr>
                <w:u w:val="single"/>
                <w:lang w:val="en-US"/>
              </w:rPr>
              <w:t>工程</w:t>
            </w:r>
            <w:r>
              <w:rPr>
                <w:u w:val="single"/>
              </w:rPr>
              <w:t>及配套设施</w:t>
            </w:r>
          </w:p>
          <w:p>
            <w:pPr>
              <w:bidi w:val="0"/>
              <w:ind w:left="0" w:leftChars="0" w:firstLine="0" w:firstLineChars="0"/>
              <w:rPr>
                <w:u w:val="single"/>
              </w:rPr>
            </w:pPr>
            <w:bookmarkStart w:id="10" w:name="_Toc7314"/>
            <w:bookmarkStart w:id="11" w:name="_Toc21141"/>
            <w:r>
              <w:rPr>
                <w:rFonts w:hint="eastAsia"/>
                <w:u w:val="single"/>
                <w:lang w:val="en-US" w:eastAsia="zh-CN"/>
              </w:rPr>
              <w:t>（1）</w:t>
            </w:r>
            <w:r>
              <w:rPr>
                <w:u w:val="single"/>
              </w:rPr>
              <w:t>供水</w:t>
            </w:r>
            <w:bookmarkEnd w:id="10"/>
            <w:bookmarkEnd w:id="11"/>
          </w:p>
          <w:p>
            <w:pPr>
              <w:adjustRightInd w:val="0"/>
              <w:snapToGrid w:val="0"/>
              <w:spacing w:line="360" w:lineRule="auto"/>
              <w:ind w:firstLine="470" w:firstLineChars="196"/>
              <w:jc w:val="both"/>
              <w:rPr>
                <w:u w:val="single"/>
              </w:rPr>
            </w:pPr>
            <w:bookmarkStart w:id="12" w:name="_Toc29588"/>
            <w:bookmarkStart w:id="13" w:name="_Toc24191"/>
            <w:r>
              <w:rPr>
                <w:u w:val="single"/>
              </w:rPr>
              <w:t>项目给水引自市政给水管道，主要为员工生活用水、设备冲洗用水、场地冲洗用水、车辆冲洗水及绿化用水。</w:t>
            </w:r>
          </w:p>
          <w:p>
            <w:pPr>
              <w:adjustRightInd w:val="0"/>
              <w:snapToGrid w:val="0"/>
              <w:spacing w:line="360" w:lineRule="auto"/>
              <w:ind w:firstLine="480" w:firstLineChars="200"/>
              <w:jc w:val="both"/>
              <w:rPr>
                <w:u w:val="single"/>
              </w:rPr>
            </w:pPr>
            <w:r>
              <w:rPr>
                <w:rFonts w:hint="eastAsia"/>
                <w:u w:val="single"/>
              </w:rPr>
              <w:t>①项目劳动定员均为</w:t>
            </w:r>
            <w:r>
              <w:rPr>
                <w:u w:val="single"/>
              </w:rPr>
              <w:t>5</w:t>
            </w:r>
            <w:r>
              <w:rPr>
                <w:rFonts w:hint="eastAsia"/>
                <w:u w:val="single"/>
              </w:rPr>
              <w:t>人，不在厂区住宿，不在厂内就餐，</w:t>
            </w:r>
            <w:r>
              <w:rPr>
                <w:u w:val="single"/>
              </w:rPr>
              <w:t>用水定额参照《湖南省用水定额》（DB43/T388-2020）指标，</w:t>
            </w:r>
            <w:r>
              <w:rPr>
                <w:rFonts w:hint="eastAsia"/>
                <w:u w:val="single"/>
              </w:rPr>
              <w:t>用水定额为</w:t>
            </w:r>
            <w:r>
              <w:rPr>
                <w:u w:val="single"/>
              </w:rPr>
              <w:t>90L/</w:t>
            </w:r>
            <w:r>
              <w:rPr>
                <w:rFonts w:hint="eastAsia"/>
                <w:u w:val="single"/>
              </w:rPr>
              <w:t>人</w:t>
            </w:r>
            <w:r>
              <w:rPr>
                <w:u w:val="single"/>
              </w:rPr>
              <w:t>•d</w:t>
            </w:r>
            <w:r>
              <w:rPr>
                <w:rFonts w:hint="eastAsia"/>
                <w:u w:val="single"/>
              </w:rPr>
              <w:t>计算，项目年生产</w:t>
            </w:r>
            <w:r>
              <w:rPr>
                <w:u w:val="single"/>
              </w:rPr>
              <w:t>365</w:t>
            </w:r>
            <w:r>
              <w:rPr>
                <w:rFonts w:hint="eastAsia"/>
                <w:u w:val="single"/>
              </w:rPr>
              <w:t>天，则垃圾转运站生活用水量为</w:t>
            </w:r>
            <w:r>
              <w:rPr>
                <w:u w:val="single"/>
              </w:rPr>
              <w:t>0.45m</w:t>
            </w:r>
            <w:r>
              <w:rPr>
                <w:u w:val="single"/>
                <w:vertAlign w:val="superscript"/>
              </w:rPr>
              <w:t>3</w:t>
            </w:r>
            <w:r>
              <w:rPr>
                <w:u w:val="single"/>
              </w:rPr>
              <w:t>/d</w:t>
            </w:r>
            <w:r>
              <w:rPr>
                <w:rFonts w:hint="eastAsia"/>
                <w:u w:val="single"/>
              </w:rPr>
              <w:t>（</w:t>
            </w:r>
            <w:r>
              <w:rPr>
                <w:u w:val="single"/>
              </w:rPr>
              <w:t>164.25m</w:t>
            </w:r>
            <w:r>
              <w:rPr>
                <w:u w:val="single"/>
                <w:vertAlign w:val="superscript"/>
              </w:rPr>
              <w:t>3</w:t>
            </w:r>
            <w:r>
              <w:rPr>
                <w:u w:val="single"/>
              </w:rPr>
              <w:t>/a</w:t>
            </w:r>
            <w:r>
              <w:rPr>
                <w:rFonts w:hint="eastAsia"/>
                <w:u w:val="single"/>
              </w:rPr>
              <w:t>）。</w:t>
            </w:r>
          </w:p>
          <w:p>
            <w:pPr>
              <w:pStyle w:val="30"/>
              <w:spacing w:after="0" w:line="360" w:lineRule="auto"/>
              <w:ind w:left="0" w:leftChars="0" w:firstLine="480"/>
              <w:jc w:val="both"/>
              <w:rPr>
                <w:u w:val="single"/>
              </w:rPr>
            </w:pPr>
            <w:r>
              <w:rPr>
                <w:rFonts w:hint="eastAsia"/>
                <w:u w:val="single"/>
              </w:rPr>
              <w:t>②</w:t>
            </w:r>
            <w:r>
              <w:rPr>
                <w:u w:val="single"/>
              </w:rPr>
              <w:t>压缩</w:t>
            </w:r>
            <w:r>
              <w:rPr>
                <w:rFonts w:hint="eastAsia"/>
                <w:u w:val="single"/>
              </w:rPr>
              <w:t>设备</w:t>
            </w:r>
            <w:r>
              <w:rPr>
                <w:u w:val="single"/>
              </w:rPr>
              <w:t>冲洗用水：</w:t>
            </w:r>
            <w:r>
              <w:rPr>
                <w:rFonts w:hint="eastAsia"/>
                <w:u w:val="single"/>
              </w:rPr>
              <w:t>垃圾压缩机需进行清洗，用水系数以0.5m</w:t>
            </w:r>
            <w:r>
              <w:rPr>
                <w:rFonts w:hint="eastAsia"/>
                <w:u w:val="single"/>
                <w:vertAlign w:val="superscript"/>
              </w:rPr>
              <w:t>3</w:t>
            </w:r>
            <w:r>
              <w:rPr>
                <w:rFonts w:hint="eastAsia"/>
                <w:u w:val="single"/>
              </w:rPr>
              <w:t>/d台计，压缩设备共计</w:t>
            </w:r>
            <w:r>
              <w:rPr>
                <w:rFonts w:hint="eastAsia"/>
                <w:u w:val="single"/>
                <w:lang w:val="en-US" w:eastAsia="zh-CN"/>
              </w:rPr>
              <w:t>2</w:t>
            </w:r>
            <w:r>
              <w:rPr>
                <w:rFonts w:hint="eastAsia"/>
                <w:u w:val="single"/>
              </w:rPr>
              <w:t>套，项目年运行天数365d，则设备冲洗用水为</w:t>
            </w:r>
            <w:r>
              <w:rPr>
                <w:rFonts w:hint="eastAsia"/>
                <w:u w:val="single"/>
                <w:lang w:val="en-US" w:eastAsia="zh-CN"/>
              </w:rPr>
              <w:t>1</w:t>
            </w:r>
            <w:r>
              <w:rPr>
                <w:u w:val="single"/>
              </w:rPr>
              <w:t>m</w:t>
            </w:r>
            <w:r>
              <w:rPr>
                <w:u w:val="single"/>
                <w:vertAlign w:val="superscript"/>
              </w:rPr>
              <w:t>3</w:t>
            </w:r>
            <w:r>
              <w:rPr>
                <w:u w:val="single"/>
              </w:rPr>
              <w:t>/d（</w:t>
            </w:r>
            <w:r>
              <w:rPr>
                <w:rFonts w:hint="eastAsia"/>
                <w:u w:val="single"/>
                <w:lang w:val="en-US" w:eastAsia="zh-CN"/>
              </w:rPr>
              <w:t>365</w:t>
            </w:r>
            <w:r>
              <w:rPr>
                <w:u w:val="single"/>
              </w:rPr>
              <w:t>m</w:t>
            </w:r>
            <w:r>
              <w:rPr>
                <w:u w:val="single"/>
                <w:vertAlign w:val="superscript"/>
              </w:rPr>
              <w:t>3</w:t>
            </w:r>
            <w:r>
              <w:rPr>
                <w:u w:val="single"/>
              </w:rPr>
              <w:t>/a）</w:t>
            </w:r>
            <w:r>
              <w:rPr>
                <w:rFonts w:hint="eastAsia"/>
                <w:u w:val="single"/>
              </w:rPr>
              <w:t>。</w:t>
            </w:r>
          </w:p>
          <w:p>
            <w:pPr>
              <w:pStyle w:val="30"/>
              <w:spacing w:after="0" w:line="360" w:lineRule="auto"/>
              <w:ind w:left="0" w:leftChars="0" w:firstLine="480"/>
              <w:jc w:val="both"/>
              <w:rPr>
                <w:u w:val="single"/>
              </w:rPr>
            </w:pPr>
            <w:r>
              <w:rPr>
                <w:rFonts w:hint="eastAsia"/>
                <w:u w:val="single"/>
              </w:rPr>
              <w:t>③</w:t>
            </w:r>
            <w:r>
              <w:rPr>
                <w:u w:val="single"/>
              </w:rPr>
              <w:t>车辆冲洗用水：</w:t>
            </w:r>
            <w:r>
              <w:rPr>
                <w:rFonts w:hint="eastAsia"/>
                <w:u w:val="single"/>
              </w:rPr>
              <w:t>用水系数以30L/辆计，共计运输车辆</w:t>
            </w:r>
            <w:r>
              <w:rPr>
                <w:u w:val="single"/>
              </w:rPr>
              <w:t>3</w:t>
            </w:r>
            <w:r>
              <w:rPr>
                <w:rFonts w:hint="eastAsia"/>
                <w:u w:val="single"/>
              </w:rPr>
              <w:t>台，项目年运行天数365d，则车辆冲洗用水为</w:t>
            </w:r>
            <w:r>
              <w:rPr>
                <w:u w:val="single"/>
              </w:rPr>
              <w:t>0.09m</w:t>
            </w:r>
            <w:r>
              <w:rPr>
                <w:u w:val="single"/>
                <w:vertAlign w:val="superscript"/>
              </w:rPr>
              <w:t>3</w:t>
            </w:r>
            <w:r>
              <w:rPr>
                <w:u w:val="single"/>
              </w:rPr>
              <w:t>/d（32.85m</w:t>
            </w:r>
            <w:r>
              <w:rPr>
                <w:u w:val="single"/>
                <w:vertAlign w:val="superscript"/>
              </w:rPr>
              <w:t>3</w:t>
            </w:r>
            <w:r>
              <w:rPr>
                <w:u w:val="single"/>
              </w:rPr>
              <w:t>/a）。</w:t>
            </w:r>
          </w:p>
          <w:p>
            <w:pPr>
              <w:pStyle w:val="30"/>
              <w:spacing w:after="0" w:line="360" w:lineRule="auto"/>
              <w:ind w:left="0" w:leftChars="0" w:firstLine="480"/>
              <w:jc w:val="both"/>
              <w:rPr>
                <w:u w:val="single"/>
              </w:rPr>
            </w:pPr>
            <w:r>
              <w:rPr>
                <w:rFonts w:hint="eastAsia"/>
                <w:u w:val="single"/>
              </w:rPr>
              <w:t>④</w:t>
            </w:r>
            <w:r>
              <w:rPr>
                <w:u w:val="single"/>
              </w:rPr>
              <w:t>场地冲洗用水：</w:t>
            </w:r>
            <w:r>
              <w:rPr>
                <w:rFonts w:hint="eastAsia"/>
                <w:u w:val="single"/>
              </w:rPr>
              <w:t>根据《湖南省用水定额》（</w:t>
            </w:r>
            <w:r>
              <w:rPr>
                <w:u w:val="single"/>
              </w:rPr>
              <w:t>DB43/T388-2020</w:t>
            </w:r>
            <w:r>
              <w:rPr>
                <w:rFonts w:hint="eastAsia"/>
                <w:u w:val="single"/>
              </w:rPr>
              <w:t>）</w:t>
            </w:r>
            <w:r>
              <w:rPr>
                <w:rFonts w:hint="eastAsia"/>
                <w:u w:val="single"/>
                <w:lang w:eastAsia="zh-CN"/>
              </w:rPr>
              <w:t>，</w:t>
            </w:r>
            <w:r>
              <w:rPr>
                <w:rFonts w:hint="default"/>
                <w:u w:val="single"/>
                <w:lang w:val="en-US" w:eastAsia="zh-CN"/>
              </w:rPr>
              <w:t>道路、场地浇洒用水2L/</w:t>
            </w:r>
            <w:r>
              <w:rPr>
                <w:rFonts w:hint="eastAsia"/>
                <w:u w:val="single"/>
                <w:lang w:val="en-US" w:eastAsia="zh-CN"/>
              </w:rPr>
              <w:t>m</w:t>
            </w:r>
            <w:r>
              <w:rPr>
                <w:rFonts w:hint="eastAsia"/>
                <w:u w:val="single"/>
                <w:vertAlign w:val="superscript"/>
                <w:lang w:val="en-US" w:eastAsia="zh-CN"/>
              </w:rPr>
              <w:t>2</w:t>
            </w:r>
            <w:r>
              <w:rPr>
                <w:rFonts w:hint="default"/>
                <w:u w:val="single"/>
                <w:lang w:val="en-US" w:eastAsia="zh-CN"/>
              </w:rPr>
              <w:t>每天</w:t>
            </w:r>
            <w:r>
              <w:rPr>
                <w:rFonts w:hint="eastAsia"/>
                <w:u w:val="single"/>
                <w:lang w:val="en-US" w:eastAsia="zh-CN"/>
              </w:rPr>
              <w:t>，本项目</w:t>
            </w:r>
            <w:r>
              <w:rPr>
                <w:rFonts w:hint="eastAsia"/>
                <w:u w:val="single"/>
              </w:rPr>
              <w:t>一周冲洗一次，年冲洗次数为</w:t>
            </w:r>
            <w:r>
              <w:rPr>
                <w:u w:val="single"/>
              </w:rPr>
              <w:t>48</w:t>
            </w:r>
            <w:r>
              <w:rPr>
                <w:rFonts w:hint="eastAsia"/>
                <w:u w:val="single"/>
              </w:rPr>
              <w:t>次，</w:t>
            </w:r>
            <w:r>
              <w:rPr>
                <w:rFonts w:hint="eastAsia"/>
                <w:u w:val="single"/>
                <w:lang w:eastAsia="zh-CN"/>
              </w:rPr>
              <w:t>转运区建筑面积为</w:t>
            </w:r>
            <w:r>
              <w:rPr>
                <w:rFonts w:hint="eastAsia"/>
                <w:u w:val="single"/>
                <w:lang w:val="en-US" w:eastAsia="zh-CN"/>
              </w:rPr>
              <w:t>3326.67m</w:t>
            </w:r>
            <w:r>
              <w:rPr>
                <w:rFonts w:hint="eastAsia"/>
                <w:u w:val="single"/>
                <w:vertAlign w:val="superscript"/>
                <w:lang w:val="en-US" w:eastAsia="zh-CN"/>
              </w:rPr>
              <w:t>2</w:t>
            </w:r>
            <w:r>
              <w:rPr>
                <w:rFonts w:hint="eastAsia"/>
                <w:u w:val="single"/>
                <w:lang w:val="en-US" w:eastAsia="zh-CN"/>
              </w:rPr>
              <w:t>，</w:t>
            </w:r>
            <w:r>
              <w:rPr>
                <w:rFonts w:hint="eastAsia"/>
                <w:u w:val="single"/>
                <w:lang w:eastAsia="zh-CN"/>
              </w:rPr>
              <w:t>地面冲洗</w:t>
            </w:r>
            <w:r>
              <w:rPr>
                <w:rFonts w:hint="eastAsia"/>
                <w:u w:val="single"/>
              </w:rPr>
              <w:t>总用水量为</w:t>
            </w:r>
            <w:r>
              <w:rPr>
                <w:rFonts w:hint="eastAsia"/>
                <w:u w:val="single"/>
                <w:lang w:val="en-US" w:eastAsia="zh-CN"/>
              </w:rPr>
              <w:t>6.65</w:t>
            </w:r>
            <w:r>
              <w:rPr>
                <w:u w:val="single"/>
              </w:rPr>
              <w:t>m</w:t>
            </w:r>
            <w:r>
              <w:rPr>
                <w:u w:val="single"/>
                <w:vertAlign w:val="superscript"/>
              </w:rPr>
              <w:t>3</w:t>
            </w:r>
            <w:r>
              <w:rPr>
                <w:u w:val="single"/>
              </w:rPr>
              <w:t>/</w:t>
            </w:r>
            <w:r>
              <w:rPr>
                <w:rFonts w:hint="eastAsia"/>
                <w:u w:val="single"/>
              </w:rPr>
              <w:t>次（</w:t>
            </w:r>
            <w:r>
              <w:rPr>
                <w:rFonts w:hint="eastAsia"/>
                <w:u w:val="single"/>
                <w:lang w:val="en-US" w:eastAsia="zh-CN"/>
              </w:rPr>
              <w:t>319.36</w:t>
            </w:r>
            <w:r>
              <w:rPr>
                <w:u w:val="single"/>
              </w:rPr>
              <w:t>m</w:t>
            </w:r>
            <w:r>
              <w:rPr>
                <w:u w:val="single"/>
                <w:vertAlign w:val="superscript"/>
              </w:rPr>
              <w:t>3</w:t>
            </w:r>
            <w:r>
              <w:rPr>
                <w:u w:val="single"/>
              </w:rPr>
              <w:t>/a</w:t>
            </w:r>
            <w:r>
              <w:rPr>
                <w:rFonts w:hint="eastAsia"/>
                <w:u w:val="single"/>
              </w:rPr>
              <w:t>）。</w:t>
            </w:r>
          </w:p>
          <w:p>
            <w:pPr>
              <w:spacing w:line="360" w:lineRule="auto"/>
              <w:ind w:firstLine="480" w:firstLineChars="200"/>
              <w:jc w:val="both"/>
              <w:rPr>
                <w:rFonts w:hint="eastAsia"/>
                <w:u w:val="single"/>
              </w:rPr>
            </w:pPr>
            <w:r>
              <w:rPr>
                <w:rFonts w:hint="eastAsia"/>
                <w:u w:val="single"/>
              </w:rPr>
              <w:t>⑤</w:t>
            </w:r>
            <w:r>
              <w:rPr>
                <w:u w:val="single"/>
              </w:rPr>
              <w:t>绿化用水：</w:t>
            </w:r>
            <w:r>
              <w:rPr>
                <w:rFonts w:hint="eastAsia"/>
                <w:u w:val="single"/>
              </w:rPr>
              <w:t>根据《湖南省用水定额》（</w:t>
            </w:r>
            <w:r>
              <w:rPr>
                <w:u w:val="single"/>
              </w:rPr>
              <w:t>DB43/T388-2020</w:t>
            </w:r>
            <w:r>
              <w:rPr>
                <w:rFonts w:hint="eastAsia"/>
                <w:u w:val="single"/>
              </w:rPr>
              <w:t>），绿化用水按</w:t>
            </w:r>
            <w:r>
              <w:rPr>
                <w:u w:val="single"/>
              </w:rPr>
              <w:t>60L/m</w:t>
            </w:r>
            <w:r>
              <w:rPr>
                <w:u w:val="single"/>
                <w:vertAlign w:val="superscript"/>
              </w:rPr>
              <w:t>2</w:t>
            </w:r>
            <w:r>
              <w:rPr>
                <w:u w:val="single"/>
              </w:rPr>
              <w:t>.</w:t>
            </w:r>
            <w:r>
              <w:rPr>
                <w:rFonts w:hint="eastAsia"/>
                <w:u w:val="single"/>
              </w:rPr>
              <w:t>月计，本项目绿化面积为</w:t>
            </w:r>
            <w:r>
              <w:rPr>
                <w:u w:val="single"/>
              </w:rPr>
              <w:t>406m</w:t>
            </w:r>
            <w:r>
              <w:rPr>
                <w:u w:val="single"/>
                <w:vertAlign w:val="superscript"/>
              </w:rPr>
              <w:t>2</w:t>
            </w:r>
            <w:r>
              <w:rPr>
                <w:rFonts w:hint="eastAsia"/>
                <w:u w:val="single"/>
              </w:rPr>
              <w:t>，雨天不洒水，</w:t>
            </w:r>
            <w:r>
              <w:rPr>
                <w:rFonts w:hint="eastAsia"/>
                <w:u w:val="single"/>
                <w:lang w:eastAsia="zh-CN"/>
              </w:rPr>
              <w:t>绿化用水</w:t>
            </w:r>
            <w:r>
              <w:rPr>
                <w:rFonts w:hint="eastAsia"/>
                <w:u w:val="single"/>
              </w:rPr>
              <w:t>按</w:t>
            </w:r>
            <w:r>
              <w:rPr>
                <w:rFonts w:hint="eastAsia"/>
                <w:u w:val="single"/>
                <w:lang w:val="en-US" w:eastAsia="zh-CN"/>
              </w:rPr>
              <w:t>2</w:t>
            </w:r>
            <w:r>
              <w:rPr>
                <w:u w:val="single"/>
              </w:rPr>
              <w:t>00</w:t>
            </w:r>
            <w:r>
              <w:rPr>
                <w:rFonts w:hint="eastAsia"/>
                <w:u w:val="single"/>
              </w:rPr>
              <w:t>天计，则本项目绿化用水量为</w:t>
            </w:r>
            <w:r>
              <w:rPr>
                <w:rFonts w:hint="eastAsia"/>
                <w:u w:val="single"/>
                <w:lang w:val="en-US" w:eastAsia="zh-CN"/>
              </w:rPr>
              <w:t>0.81</w:t>
            </w:r>
            <w:r>
              <w:rPr>
                <w:u w:val="single"/>
              </w:rPr>
              <w:t>m</w:t>
            </w:r>
            <w:r>
              <w:rPr>
                <w:u w:val="single"/>
                <w:vertAlign w:val="superscript"/>
              </w:rPr>
              <w:t>3</w:t>
            </w:r>
            <w:r>
              <w:rPr>
                <w:u w:val="single"/>
              </w:rPr>
              <w:t>/d</w:t>
            </w:r>
            <w:r>
              <w:rPr>
                <w:rFonts w:hint="eastAsia"/>
                <w:u w:val="single"/>
              </w:rPr>
              <w:t>（</w:t>
            </w:r>
            <w:r>
              <w:rPr>
                <w:rFonts w:hint="eastAsia"/>
                <w:u w:val="single"/>
                <w:lang w:val="en-US" w:eastAsia="zh-CN"/>
              </w:rPr>
              <w:t>162</w:t>
            </w:r>
            <w:r>
              <w:rPr>
                <w:u w:val="single"/>
              </w:rPr>
              <w:t>m</w:t>
            </w:r>
            <w:r>
              <w:rPr>
                <w:u w:val="single"/>
                <w:vertAlign w:val="superscript"/>
              </w:rPr>
              <w:t>3</w:t>
            </w:r>
            <w:r>
              <w:rPr>
                <w:u w:val="single"/>
              </w:rPr>
              <w:t>/a</w:t>
            </w:r>
            <w:r>
              <w:rPr>
                <w:rFonts w:hint="eastAsia"/>
                <w:u w:val="single"/>
              </w:rPr>
              <w:t>）。项目绿化用水蒸发损耗，无废水产生。</w:t>
            </w:r>
          </w:p>
          <w:p>
            <w:pPr>
              <w:bidi w:val="0"/>
              <w:jc w:val="both"/>
              <w:rPr>
                <w:rFonts w:hint="eastAsia" w:eastAsia="宋体"/>
                <w:u w:val="single"/>
                <w:lang w:eastAsia="zh-CN"/>
              </w:rPr>
            </w:pPr>
            <w:r>
              <w:rPr>
                <w:rFonts w:hint="eastAsia"/>
                <w:u w:val="single"/>
                <w:lang w:eastAsia="zh-CN"/>
              </w:rPr>
              <w:t>⑥</w:t>
            </w:r>
            <w:r>
              <w:rPr>
                <w:rFonts w:hint="eastAsia"/>
                <w:sz w:val="24"/>
                <w:szCs w:val="24"/>
                <w:u w:val="single"/>
                <w:lang w:eastAsia="zh-CN"/>
              </w:rPr>
              <w:t>高效生物吸附塔喷淋液由厂家提供</w:t>
            </w:r>
            <w:r>
              <w:rPr>
                <w:rFonts w:hint="eastAsia" w:ascii="Times New Roman" w:hAnsi="Times New Roman"/>
                <w:sz w:val="24"/>
                <w:szCs w:val="24"/>
                <w:u w:val="single"/>
              </w:rPr>
              <w:t>，</w:t>
            </w:r>
            <w:r>
              <w:rPr>
                <w:rFonts w:hint="eastAsia"/>
                <w:sz w:val="24"/>
                <w:szCs w:val="24"/>
                <w:u w:val="single"/>
                <w:lang w:eastAsia="zh-CN"/>
              </w:rPr>
              <w:t>喷淋液循环使用，在使用过程中，会部分损失产生，定期补充喷淋液</w:t>
            </w:r>
            <w:r>
              <w:rPr>
                <w:rFonts w:hint="eastAsia" w:ascii="Times New Roman" w:hAnsi="Times New Roman"/>
                <w:sz w:val="24"/>
                <w:szCs w:val="24"/>
                <w:u w:val="single"/>
              </w:rPr>
              <w:t>，无废水产生</w:t>
            </w:r>
            <w:r>
              <w:rPr>
                <w:rFonts w:hint="eastAsia"/>
                <w:u w:val="single"/>
                <w:lang w:eastAsia="zh-CN"/>
              </w:rPr>
              <w:t>。</w:t>
            </w:r>
          </w:p>
          <w:bookmarkEnd w:id="12"/>
          <w:bookmarkEnd w:id="13"/>
          <w:p>
            <w:pPr>
              <w:bidi w:val="0"/>
              <w:jc w:val="both"/>
              <w:rPr>
                <w:rFonts w:hint="eastAsia"/>
                <w:u w:val="single"/>
                <w:lang w:eastAsia="zh-CN"/>
              </w:rPr>
            </w:pPr>
            <w:bookmarkStart w:id="14" w:name="_Toc22037"/>
            <w:bookmarkStart w:id="15" w:name="_Toc227"/>
            <w:r>
              <w:rPr>
                <w:rFonts w:hint="eastAsia"/>
                <w:u w:val="single"/>
                <w:lang w:val="en-US" w:eastAsia="zh-CN"/>
              </w:rPr>
              <w:t>⑦空间异味喷淋系统用水：参考《城市垃圾转运站的新型高效异味控制系统的应用技术》此文献中易·柯露-植物型天然除臭剂的相关数据，除臭植物液雾化量为50~150ml/min（本项目取100ml/min），配置10kg植物液需1000kg自来水，空间异味喷淋系统每天工作4.5h，则本项目空间异味喷淋系统用水0.027</w:t>
            </w:r>
            <w:r>
              <w:rPr>
                <w:u w:val="single"/>
              </w:rPr>
              <w:t>m</w:t>
            </w:r>
            <w:r>
              <w:rPr>
                <w:u w:val="single"/>
                <w:vertAlign w:val="superscript"/>
              </w:rPr>
              <w:t>3</w:t>
            </w:r>
            <w:r>
              <w:rPr>
                <w:u w:val="single"/>
              </w:rPr>
              <w:t>/d</w:t>
            </w:r>
            <w:r>
              <w:rPr>
                <w:rFonts w:hint="eastAsia"/>
                <w:u w:val="single"/>
              </w:rPr>
              <w:t>（</w:t>
            </w:r>
            <w:r>
              <w:rPr>
                <w:rFonts w:hint="eastAsia"/>
                <w:u w:val="single"/>
                <w:lang w:val="en-US" w:eastAsia="zh-CN"/>
              </w:rPr>
              <w:t>10</w:t>
            </w:r>
            <w:r>
              <w:rPr>
                <w:u w:val="single"/>
              </w:rPr>
              <w:t>m</w:t>
            </w:r>
            <w:r>
              <w:rPr>
                <w:u w:val="single"/>
                <w:vertAlign w:val="superscript"/>
              </w:rPr>
              <w:t>3</w:t>
            </w:r>
            <w:r>
              <w:rPr>
                <w:u w:val="single"/>
              </w:rPr>
              <w:t>/a</w:t>
            </w:r>
            <w:r>
              <w:rPr>
                <w:rFonts w:hint="eastAsia"/>
                <w:u w:val="single"/>
              </w:rPr>
              <w:t>）</w:t>
            </w:r>
            <w:r>
              <w:rPr>
                <w:rFonts w:hint="eastAsia"/>
                <w:u w:val="single"/>
                <w:lang w:eastAsia="zh-CN"/>
              </w:rPr>
              <w:t>。植物液喷淋后蒸发损耗，无废水产生。</w:t>
            </w:r>
          </w:p>
          <w:p>
            <w:pPr>
              <w:bidi w:val="0"/>
              <w:jc w:val="both"/>
              <w:rPr>
                <w:u w:val="single"/>
              </w:rPr>
            </w:pPr>
            <w:r>
              <w:rPr>
                <w:rFonts w:hint="eastAsia"/>
                <w:u w:val="single"/>
                <w:lang w:val="en-US" w:eastAsia="zh-CN"/>
              </w:rPr>
              <w:t>（2）</w:t>
            </w:r>
            <w:r>
              <w:rPr>
                <w:u w:val="single"/>
              </w:rPr>
              <w:t>排水</w:t>
            </w:r>
          </w:p>
          <w:p>
            <w:pPr>
              <w:topLinePunct/>
              <w:adjustRightInd w:val="0"/>
              <w:snapToGrid w:val="0"/>
              <w:spacing w:line="360" w:lineRule="auto"/>
              <w:ind w:firstLine="480" w:firstLineChars="200"/>
              <w:jc w:val="both"/>
              <w:rPr>
                <w:u w:val="single"/>
              </w:rPr>
            </w:pPr>
            <w:r>
              <w:rPr>
                <w:rFonts w:hint="eastAsia"/>
                <w:u w:val="single"/>
              </w:rPr>
              <w:t>①生活用水</w:t>
            </w:r>
          </w:p>
          <w:p>
            <w:pPr>
              <w:adjustRightInd w:val="0"/>
              <w:snapToGrid w:val="0"/>
              <w:spacing w:line="360" w:lineRule="auto"/>
              <w:ind w:firstLine="480" w:firstLineChars="200"/>
              <w:jc w:val="both"/>
              <w:rPr>
                <w:u w:val="single"/>
              </w:rPr>
            </w:pPr>
            <w:r>
              <w:rPr>
                <w:rFonts w:hint="eastAsia"/>
                <w:u w:val="single"/>
                <w:lang w:eastAsia="zh-CN"/>
              </w:rPr>
              <w:t>项目劳动</w:t>
            </w:r>
            <w:r>
              <w:rPr>
                <w:u w:val="single"/>
              </w:rPr>
              <w:t>定员</w:t>
            </w:r>
            <w:r>
              <w:rPr>
                <w:rFonts w:hint="eastAsia"/>
                <w:u w:val="single"/>
              </w:rPr>
              <w:t>5</w:t>
            </w:r>
            <w:r>
              <w:rPr>
                <w:u w:val="single"/>
              </w:rPr>
              <w:t>人；只设置有值班室，不设置食堂，</w:t>
            </w:r>
            <w:r>
              <w:rPr>
                <w:rFonts w:hint="eastAsia"/>
                <w:u w:val="single"/>
              </w:rPr>
              <w:t>参考《湖南省用水定额》（</w:t>
            </w:r>
            <w:r>
              <w:rPr>
                <w:u w:val="single"/>
              </w:rPr>
              <w:t>DB43/T388-2020</w:t>
            </w:r>
            <w:r>
              <w:rPr>
                <w:rFonts w:hint="eastAsia"/>
                <w:u w:val="single"/>
              </w:rPr>
              <w:t>），</w:t>
            </w:r>
            <w:r>
              <w:rPr>
                <w:rFonts w:hint="eastAsia"/>
                <w:u w:val="single"/>
                <w:lang w:eastAsia="zh-CN"/>
              </w:rPr>
              <w:t>项目</w:t>
            </w:r>
            <w:r>
              <w:rPr>
                <w:rFonts w:hint="eastAsia"/>
                <w:u w:val="single"/>
              </w:rPr>
              <w:t>生活用水量为</w:t>
            </w:r>
            <w:r>
              <w:rPr>
                <w:u w:val="single"/>
              </w:rPr>
              <w:t>0.45m</w:t>
            </w:r>
            <w:r>
              <w:rPr>
                <w:u w:val="single"/>
                <w:vertAlign w:val="superscript"/>
              </w:rPr>
              <w:t>3</w:t>
            </w:r>
            <w:r>
              <w:rPr>
                <w:u w:val="single"/>
              </w:rPr>
              <w:t>/d</w:t>
            </w:r>
            <w:r>
              <w:rPr>
                <w:rFonts w:hint="eastAsia"/>
                <w:u w:val="single"/>
              </w:rPr>
              <w:t>（</w:t>
            </w:r>
            <w:r>
              <w:rPr>
                <w:u w:val="single"/>
              </w:rPr>
              <w:t>164.25m</w:t>
            </w:r>
            <w:r>
              <w:rPr>
                <w:u w:val="single"/>
                <w:vertAlign w:val="superscript"/>
              </w:rPr>
              <w:t>3</w:t>
            </w:r>
            <w:r>
              <w:rPr>
                <w:u w:val="single"/>
              </w:rPr>
              <w:t>/a</w:t>
            </w:r>
            <w:r>
              <w:rPr>
                <w:rFonts w:hint="eastAsia"/>
                <w:u w:val="single"/>
              </w:rPr>
              <w:t>），排放系数按</w:t>
            </w:r>
            <w:r>
              <w:rPr>
                <w:u w:val="single"/>
              </w:rPr>
              <w:t>0.85</w:t>
            </w:r>
            <w:r>
              <w:rPr>
                <w:rFonts w:hint="eastAsia"/>
                <w:u w:val="single"/>
              </w:rPr>
              <w:t>计算，则</w:t>
            </w:r>
            <w:r>
              <w:rPr>
                <w:rFonts w:hint="eastAsia"/>
                <w:u w:val="single"/>
                <w:lang w:eastAsia="zh-CN"/>
              </w:rPr>
              <w:t>项目</w:t>
            </w:r>
            <w:r>
              <w:rPr>
                <w:rFonts w:hint="eastAsia"/>
                <w:u w:val="single"/>
              </w:rPr>
              <w:t>生活污水产生量为</w:t>
            </w:r>
            <w:r>
              <w:rPr>
                <w:u w:val="single"/>
              </w:rPr>
              <w:t>0.38m</w:t>
            </w:r>
            <w:r>
              <w:rPr>
                <w:u w:val="single"/>
                <w:vertAlign w:val="superscript"/>
              </w:rPr>
              <w:t>3</w:t>
            </w:r>
            <w:r>
              <w:rPr>
                <w:u w:val="single"/>
              </w:rPr>
              <w:t>/d</w:t>
            </w:r>
            <w:r>
              <w:rPr>
                <w:rFonts w:hint="eastAsia"/>
                <w:u w:val="single"/>
              </w:rPr>
              <w:t>（</w:t>
            </w:r>
            <w:r>
              <w:rPr>
                <w:u w:val="single"/>
              </w:rPr>
              <w:t>138.7m</w:t>
            </w:r>
            <w:r>
              <w:rPr>
                <w:u w:val="single"/>
                <w:vertAlign w:val="superscript"/>
              </w:rPr>
              <w:t>3</w:t>
            </w:r>
            <w:r>
              <w:rPr>
                <w:u w:val="single"/>
              </w:rPr>
              <w:t>/a</w:t>
            </w:r>
            <w:r>
              <w:rPr>
                <w:rFonts w:hint="eastAsia"/>
                <w:u w:val="single"/>
              </w:rPr>
              <w:t>）。项目</w:t>
            </w:r>
            <w:r>
              <w:rPr>
                <w:rFonts w:hint="eastAsia"/>
                <w:u w:val="single"/>
                <w:lang w:eastAsia="zh-CN"/>
              </w:rPr>
              <w:t>在办公楼南侧设置一下化粪池（</w:t>
            </w:r>
            <w:r>
              <w:rPr>
                <w:rFonts w:hint="eastAsia"/>
                <w:u w:val="single"/>
                <w:lang w:val="en-US" w:eastAsia="zh-CN"/>
              </w:rPr>
              <w:t>2m</w:t>
            </w:r>
            <w:r>
              <w:rPr>
                <w:rFonts w:hint="eastAsia"/>
                <w:u w:val="single"/>
                <w:vertAlign w:val="superscript"/>
                <w:lang w:val="en-US" w:eastAsia="zh-CN"/>
              </w:rPr>
              <w:t>3</w:t>
            </w:r>
            <w:r>
              <w:rPr>
                <w:rFonts w:hint="eastAsia"/>
                <w:u w:val="single"/>
                <w:lang w:eastAsia="zh-CN"/>
              </w:rPr>
              <w:t>），生活废水经化粪池处理后定期清掏作农肥</w:t>
            </w:r>
            <w:r>
              <w:rPr>
                <w:rFonts w:hint="eastAsia"/>
                <w:u w:val="single"/>
              </w:rPr>
              <w:t>。</w:t>
            </w:r>
          </w:p>
          <w:p>
            <w:pPr>
              <w:topLinePunct/>
              <w:adjustRightInd w:val="0"/>
              <w:snapToGrid w:val="0"/>
              <w:spacing w:line="360" w:lineRule="auto"/>
              <w:ind w:firstLine="480" w:firstLineChars="200"/>
              <w:jc w:val="both"/>
              <w:rPr>
                <w:u w:val="single"/>
              </w:rPr>
            </w:pPr>
            <w:r>
              <w:rPr>
                <w:rFonts w:hint="eastAsia"/>
                <w:u w:val="single"/>
              </w:rPr>
              <w:t>②设备冲洗、车辆冲洗、场地冲洗废水</w:t>
            </w:r>
          </w:p>
          <w:p>
            <w:pPr>
              <w:topLinePunct/>
              <w:adjustRightInd w:val="0"/>
              <w:snapToGrid w:val="0"/>
              <w:spacing w:line="360" w:lineRule="auto"/>
              <w:ind w:firstLine="480" w:firstLineChars="200"/>
              <w:jc w:val="both"/>
              <w:rPr>
                <w:rFonts w:hint="eastAsia"/>
                <w:lang w:eastAsia="zh-CN"/>
              </w:rPr>
            </w:pPr>
            <w:r>
              <w:rPr>
                <w:rFonts w:hint="eastAsia"/>
                <w:u w:val="single"/>
              </w:rPr>
              <w:t>设备冲洗用水为</w:t>
            </w:r>
            <w:r>
              <w:rPr>
                <w:rFonts w:hint="eastAsia"/>
                <w:u w:val="single"/>
                <w:lang w:val="en-US" w:eastAsia="zh-CN"/>
              </w:rPr>
              <w:t>1</w:t>
            </w:r>
            <w:r>
              <w:rPr>
                <w:u w:val="single"/>
              </w:rPr>
              <w:t>m</w:t>
            </w:r>
            <w:r>
              <w:rPr>
                <w:u w:val="single"/>
                <w:vertAlign w:val="superscript"/>
              </w:rPr>
              <w:t>3</w:t>
            </w:r>
            <w:r>
              <w:rPr>
                <w:u w:val="single"/>
              </w:rPr>
              <w:t>/d（</w:t>
            </w:r>
            <w:r>
              <w:rPr>
                <w:rFonts w:hint="eastAsia"/>
                <w:u w:val="single"/>
                <w:lang w:val="en-US" w:eastAsia="zh-CN"/>
              </w:rPr>
              <w:t>365</w:t>
            </w:r>
            <w:r>
              <w:rPr>
                <w:u w:val="single"/>
              </w:rPr>
              <w:t>m</w:t>
            </w:r>
            <w:r>
              <w:rPr>
                <w:u w:val="single"/>
                <w:vertAlign w:val="superscript"/>
              </w:rPr>
              <w:t>3</w:t>
            </w:r>
            <w:r>
              <w:rPr>
                <w:u w:val="single"/>
              </w:rPr>
              <w:t>/a）</w:t>
            </w:r>
            <w:r>
              <w:rPr>
                <w:rFonts w:hint="eastAsia"/>
                <w:u w:val="single"/>
                <w:lang w:eastAsia="zh-CN"/>
              </w:rPr>
              <w:t>，</w:t>
            </w:r>
            <w:r>
              <w:rPr>
                <w:rFonts w:hint="eastAsia"/>
                <w:u w:val="single"/>
              </w:rPr>
              <w:t>设备冲洗废水产生系数</w:t>
            </w:r>
            <w:r>
              <w:rPr>
                <w:u w:val="single"/>
              </w:rPr>
              <w:t>0.85</w:t>
            </w:r>
            <w:r>
              <w:rPr>
                <w:rFonts w:hint="eastAsia"/>
                <w:u w:val="single"/>
              </w:rPr>
              <w:t>核算。则废水产生量为</w:t>
            </w:r>
            <w:r>
              <w:rPr>
                <w:rFonts w:hint="eastAsia"/>
                <w:u w:val="single"/>
                <w:lang w:val="en-US" w:eastAsia="zh-CN"/>
              </w:rPr>
              <w:t>0.85</w:t>
            </w:r>
            <w:r>
              <w:rPr>
                <w:u w:val="single"/>
              </w:rPr>
              <w:t>m</w:t>
            </w:r>
            <w:r>
              <w:rPr>
                <w:u w:val="single"/>
                <w:vertAlign w:val="superscript"/>
              </w:rPr>
              <w:t>3</w:t>
            </w:r>
            <w:r>
              <w:rPr>
                <w:u w:val="single"/>
              </w:rPr>
              <w:t>/d</w:t>
            </w:r>
            <w:r>
              <w:rPr>
                <w:rFonts w:hint="eastAsia"/>
                <w:u w:val="single"/>
              </w:rPr>
              <w:t>（</w:t>
            </w:r>
            <w:r>
              <w:rPr>
                <w:rFonts w:hint="eastAsia"/>
                <w:u w:val="single"/>
                <w:lang w:val="en-US" w:eastAsia="zh-CN"/>
              </w:rPr>
              <w:t>310.25</w:t>
            </w:r>
            <w:r>
              <w:rPr>
                <w:u w:val="single"/>
              </w:rPr>
              <w:t>m</w:t>
            </w:r>
            <w:r>
              <w:rPr>
                <w:u w:val="single"/>
                <w:vertAlign w:val="superscript"/>
              </w:rPr>
              <w:t>3</w:t>
            </w:r>
            <w:r>
              <w:rPr>
                <w:u w:val="single"/>
              </w:rPr>
              <w:t>/a</w:t>
            </w:r>
            <w:r>
              <w:rPr>
                <w:rFonts w:hint="eastAsia"/>
                <w:u w:val="single"/>
              </w:rPr>
              <w:t>）</w:t>
            </w:r>
            <w:r>
              <w:rPr>
                <w:rFonts w:hint="eastAsia"/>
                <w:u w:val="single"/>
                <w:lang w:eastAsia="zh-CN"/>
              </w:rPr>
              <w:t>；</w:t>
            </w:r>
            <w:r>
              <w:rPr>
                <w:rFonts w:hint="eastAsia"/>
                <w:u w:val="single"/>
              </w:rPr>
              <w:t>车辆冲洗用水为</w:t>
            </w:r>
            <w:r>
              <w:rPr>
                <w:u w:val="single"/>
              </w:rPr>
              <w:t>0.09m</w:t>
            </w:r>
            <w:r>
              <w:rPr>
                <w:u w:val="single"/>
                <w:vertAlign w:val="superscript"/>
              </w:rPr>
              <w:t>3</w:t>
            </w:r>
            <w:r>
              <w:rPr>
                <w:u w:val="single"/>
              </w:rPr>
              <w:t>/d（32.85m</w:t>
            </w:r>
            <w:r>
              <w:rPr>
                <w:u w:val="single"/>
                <w:vertAlign w:val="superscript"/>
              </w:rPr>
              <w:t>3</w:t>
            </w:r>
            <w:r>
              <w:rPr>
                <w:u w:val="single"/>
              </w:rPr>
              <w:t>/a）</w:t>
            </w:r>
            <w:r>
              <w:rPr>
                <w:rFonts w:hint="eastAsia"/>
                <w:u w:val="single"/>
                <w:lang w:eastAsia="zh-CN"/>
              </w:rPr>
              <w:t>，</w:t>
            </w:r>
            <w:r>
              <w:rPr>
                <w:rFonts w:hint="eastAsia"/>
                <w:u w:val="single"/>
              </w:rPr>
              <w:t>车辆冲洗废水产生系数按照</w:t>
            </w:r>
            <w:r>
              <w:rPr>
                <w:u w:val="single"/>
              </w:rPr>
              <w:t>0.85</w:t>
            </w:r>
            <w:r>
              <w:rPr>
                <w:rFonts w:hint="eastAsia"/>
                <w:u w:val="single"/>
              </w:rPr>
              <w:t>核算，</w:t>
            </w:r>
            <w:r>
              <w:rPr>
                <w:rFonts w:hint="eastAsia"/>
                <w:u w:val="single"/>
                <w:lang w:eastAsia="zh-CN"/>
              </w:rPr>
              <w:t>则车辆冲洗废水产生量为</w:t>
            </w:r>
            <w:r>
              <w:rPr>
                <w:u w:val="single"/>
              </w:rPr>
              <w:t>0.0765m</w:t>
            </w:r>
            <w:r>
              <w:rPr>
                <w:u w:val="single"/>
                <w:vertAlign w:val="superscript"/>
              </w:rPr>
              <w:t>3</w:t>
            </w:r>
            <w:r>
              <w:rPr>
                <w:u w:val="single"/>
              </w:rPr>
              <w:t>/d</w:t>
            </w:r>
            <w:r>
              <w:rPr>
                <w:rFonts w:hint="eastAsia"/>
                <w:u w:val="single"/>
              </w:rPr>
              <w:t>（</w:t>
            </w:r>
            <w:r>
              <w:rPr>
                <w:u w:val="single"/>
              </w:rPr>
              <w:t>27.9</w:t>
            </w:r>
            <w:r>
              <w:rPr>
                <w:rFonts w:hint="eastAsia"/>
                <w:u w:val="single"/>
                <w:lang w:val="en-US" w:eastAsia="zh-CN"/>
              </w:rPr>
              <w:t>2</w:t>
            </w:r>
            <w:r>
              <w:rPr>
                <w:u w:val="single"/>
              </w:rPr>
              <w:t>m</w:t>
            </w:r>
            <w:r>
              <w:rPr>
                <w:u w:val="single"/>
                <w:vertAlign w:val="superscript"/>
              </w:rPr>
              <w:t>3</w:t>
            </w:r>
            <w:r>
              <w:rPr>
                <w:u w:val="single"/>
              </w:rPr>
              <w:t>/a</w:t>
            </w:r>
            <w:r>
              <w:rPr>
                <w:rFonts w:hint="eastAsia"/>
                <w:u w:val="single"/>
              </w:rPr>
              <w:t>）</w:t>
            </w:r>
            <w:r>
              <w:rPr>
                <w:rFonts w:hint="eastAsia"/>
                <w:u w:val="single"/>
                <w:lang w:eastAsia="zh-CN"/>
              </w:rPr>
              <w:t>；转运区冲洗</w:t>
            </w:r>
            <w:r>
              <w:rPr>
                <w:rFonts w:hint="eastAsia"/>
                <w:u w:val="single"/>
              </w:rPr>
              <w:t>总用水量为</w:t>
            </w:r>
            <w:r>
              <w:rPr>
                <w:rFonts w:hint="eastAsia"/>
                <w:u w:val="single"/>
                <w:lang w:val="en-US" w:eastAsia="zh-CN"/>
              </w:rPr>
              <w:t>6.65</w:t>
            </w:r>
            <w:r>
              <w:rPr>
                <w:u w:val="single"/>
              </w:rPr>
              <w:t>m</w:t>
            </w:r>
            <w:r>
              <w:rPr>
                <w:u w:val="single"/>
                <w:vertAlign w:val="superscript"/>
              </w:rPr>
              <w:t>3</w:t>
            </w:r>
            <w:r>
              <w:rPr>
                <w:u w:val="single"/>
              </w:rPr>
              <w:t>/</w:t>
            </w:r>
            <w:r>
              <w:rPr>
                <w:rFonts w:hint="eastAsia"/>
                <w:u w:val="single"/>
              </w:rPr>
              <w:t>次（</w:t>
            </w:r>
            <w:r>
              <w:rPr>
                <w:rFonts w:hint="eastAsia"/>
                <w:u w:val="single"/>
                <w:lang w:val="en-US" w:eastAsia="zh-CN"/>
              </w:rPr>
              <w:t>319.36</w:t>
            </w:r>
            <w:r>
              <w:rPr>
                <w:u w:val="single"/>
              </w:rPr>
              <w:t>m</w:t>
            </w:r>
            <w:r>
              <w:rPr>
                <w:u w:val="single"/>
                <w:vertAlign w:val="superscript"/>
              </w:rPr>
              <w:t>3</w:t>
            </w:r>
            <w:r>
              <w:rPr>
                <w:u w:val="single"/>
              </w:rPr>
              <w:t>/a</w:t>
            </w:r>
            <w:r>
              <w:rPr>
                <w:rFonts w:hint="eastAsia"/>
                <w:u w:val="single"/>
              </w:rPr>
              <w:t>）</w:t>
            </w:r>
            <w:r>
              <w:rPr>
                <w:rFonts w:hint="eastAsia"/>
                <w:u w:val="single"/>
                <w:lang w:eastAsia="zh-CN"/>
              </w:rPr>
              <w:t>，</w:t>
            </w:r>
            <w:r>
              <w:rPr>
                <w:rFonts w:hint="eastAsia"/>
                <w:u w:val="single"/>
              </w:rPr>
              <w:t>废水</w:t>
            </w:r>
            <w:r>
              <w:rPr>
                <w:rFonts w:hint="eastAsia"/>
                <w:u w:val="single"/>
                <w:lang w:eastAsia="zh-CN"/>
              </w:rPr>
              <w:t>产生系数</w:t>
            </w:r>
            <w:r>
              <w:rPr>
                <w:rFonts w:hint="eastAsia"/>
                <w:u w:val="single"/>
              </w:rPr>
              <w:t>按照</w:t>
            </w:r>
            <w:r>
              <w:rPr>
                <w:u w:val="single"/>
              </w:rPr>
              <w:t>0.85</w:t>
            </w:r>
            <w:r>
              <w:rPr>
                <w:rFonts w:hint="eastAsia"/>
                <w:u w:val="single"/>
              </w:rPr>
              <w:t>进行核算，</w:t>
            </w:r>
            <w:r>
              <w:rPr>
                <w:rFonts w:hint="eastAsia"/>
                <w:u w:val="single"/>
                <w:lang w:eastAsia="zh-CN"/>
              </w:rPr>
              <w:t>转运区</w:t>
            </w:r>
            <w:r>
              <w:rPr>
                <w:rFonts w:hint="eastAsia"/>
                <w:u w:val="single"/>
              </w:rPr>
              <w:t>冲洗废水按照</w:t>
            </w:r>
            <w:r>
              <w:rPr>
                <w:u w:val="single"/>
              </w:rPr>
              <w:t>0.85</w:t>
            </w:r>
            <w:r>
              <w:rPr>
                <w:rFonts w:hint="eastAsia"/>
                <w:u w:val="single"/>
              </w:rPr>
              <w:t>进行核算，则废水产生量为</w:t>
            </w:r>
            <w:r>
              <w:rPr>
                <w:rFonts w:hint="eastAsia"/>
                <w:u w:val="single"/>
                <w:lang w:val="en-US" w:eastAsia="zh-CN"/>
              </w:rPr>
              <w:t>5.65</w:t>
            </w:r>
            <w:r>
              <w:rPr>
                <w:u w:val="single"/>
              </w:rPr>
              <w:t>m</w:t>
            </w:r>
            <w:r>
              <w:rPr>
                <w:u w:val="single"/>
                <w:vertAlign w:val="superscript"/>
              </w:rPr>
              <w:t>3</w:t>
            </w:r>
            <w:r>
              <w:rPr>
                <w:u w:val="single"/>
              </w:rPr>
              <w:t>/</w:t>
            </w:r>
            <w:r>
              <w:rPr>
                <w:rFonts w:hint="eastAsia"/>
                <w:u w:val="single"/>
              </w:rPr>
              <w:t>次（</w:t>
            </w:r>
            <w:r>
              <w:rPr>
                <w:rFonts w:hint="eastAsia"/>
                <w:u w:val="single"/>
                <w:lang w:val="en-US" w:eastAsia="zh-CN"/>
              </w:rPr>
              <w:t>271.456</w:t>
            </w:r>
            <w:r>
              <w:rPr>
                <w:u w:val="single"/>
              </w:rPr>
              <w:t>m</w:t>
            </w:r>
            <w:r>
              <w:rPr>
                <w:u w:val="single"/>
                <w:vertAlign w:val="superscript"/>
              </w:rPr>
              <w:t>3</w:t>
            </w:r>
            <w:r>
              <w:rPr>
                <w:u w:val="single"/>
              </w:rPr>
              <w:t>/a</w:t>
            </w:r>
            <w:r>
              <w:rPr>
                <w:rFonts w:hint="eastAsia"/>
                <w:u w:val="single"/>
              </w:rPr>
              <w:t>）</w:t>
            </w:r>
            <w:r>
              <w:rPr>
                <w:rFonts w:hint="eastAsia"/>
                <w:u w:val="single"/>
                <w:lang w:eastAsia="zh-CN"/>
              </w:rPr>
              <w:t>。</w:t>
            </w:r>
          </w:p>
          <w:p>
            <w:pPr>
              <w:spacing w:line="360" w:lineRule="auto"/>
              <w:ind w:firstLine="480" w:firstLineChars="200"/>
              <w:jc w:val="both"/>
              <w:rPr>
                <w:u w:val="single"/>
              </w:rPr>
            </w:pPr>
            <w:r>
              <w:rPr>
                <w:rFonts w:hint="eastAsia"/>
                <w:u w:val="single"/>
              </w:rPr>
              <w:t>③渗滤液</w:t>
            </w:r>
          </w:p>
          <w:p>
            <w:pPr>
              <w:bidi w:val="0"/>
              <w:jc w:val="both"/>
              <w:rPr>
                <w:rFonts w:hint="eastAsia"/>
                <w:u w:val="single"/>
                <w:lang w:val="en-US" w:eastAsia="zh-CN"/>
              </w:rPr>
            </w:pPr>
            <w:r>
              <w:rPr>
                <w:rFonts w:hint="eastAsia"/>
                <w:u w:val="single"/>
                <w:lang w:val="en-US" w:eastAsia="zh-CN"/>
              </w:rPr>
              <w:t>根据《生活垃圾渗滤液处理技术规范》(CJJ150-2010)：“垃圾中转站渗沥液的日产量应考虑垃圾压缩站装置的类型(水平或垂直)、压缩的程度、垃圾的主要组成成分、垃圾的密度等因素、渗沥液日产生量可按垃圾量的5%~10% (重量比)计；降雨量较少的地区垃圾渗沥液日产生量可按垃圾量的3%~8% (重量比)计”。根据《生活垃圾流化床焚烧工程技术导则》：“根据垃圾焚烧厂现场试验证明密闭自然沥水试验，3d~5d的沥出水量最大，出水率达垃圾重量的10%以上，高水分垃圾7d左右可自然沥水达垃圾重量20%左右。”本项目属潮湿地区，垃圾均为</w:t>
            </w:r>
            <w:r>
              <w:rPr>
                <w:rFonts w:hint="eastAsia"/>
                <w:u w:val="single"/>
                <w:lang w:eastAsia="zh-CN"/>
              </w:rPr>
              <w:t>沱江镇、水打田乡、林峰乡</w:t>
            </w:r>
            <w:r>
              <w:rPr>
                <w:rFonts w:hint="eastAsia"/>
                <w:u w:val="single"/>
                <w:lang w:val="en-US" w:eastAsia="zh-CN"/>
              </w:rPr>
              <w:t>、廖家桥镇、阿拉营镇、新场镇、落潮井镇、茶田镇、千工坪镇、山江镇、麻冲乡这11个乡镇及城区当日上半天及前日后半天所产生的生活垃圾，</w:t>
            </w:r>
            <w:r>
              <w:rPr>
                <w:rFonts w:hint="eastAsia"/>
                <w:u w:val="single"/>
                <w:lang w:eastAsia="zh-CN"/>
              </w:rPr>
              <w:t>沱江镇、水打田乡、林峰乡这</w:t>
            </w:r>
            <w:r>
              <w:rPr>
                <w:rFonts w:hint="eastAsia"/>
                <w:u w:val="single"/>
                <w:lang w:val="en-US" w:eastAsia="zh-CN"/>
              </w:rPr>
              <w:t>3个乡镇由村组垃圾点收集后运输至高峰垃圾站压缩，廖家桥镇、阿拉营镇、新场镇、落潮井镇、茶田镇、千工坪镇、山江镇、麻冲乡这8个乡镇由村组垃圾点收集后于乡镇垃圾转运站进行简单压缩，简单压缩产生的渗滤液较少且跟随垃圾转运车一起运输至高峰垃圾转运站，故视为生活垃圾全部在高峰垃圾转运站内压缩，产生的渗滤液全部位于高峰垃圾转运站，生活垃圾于站内压缩完成当日即清运，于站内停留时间不超过12h，因此渗滤液尚未到达产生高峰，可按垃圾量的6%折算入半天计算(即3%)。项目设计垃圾日转运量为400t/d，由此计算得项目垃圾转运站渗滤液最大日产生量为12t。</w:t>
            </w:r>
          </w:p>
          <w:p>
            <w:pPr>
              <w:bidi w:val="0"/>
              <w:rPr>
                <w:rFonts w:hint="eastAsia"/>
                <w:u w:val="single"/>
                <w:lang w:val="en-US" w:eastAsia="zh-CN"/>
              </w:rPr>
            </w:pPr>
            <w:r>
              <w:rPr>
                <w:rFonts w:hint="eastAsia"/>
                <w:u w:val="single"/>
                <w:lang w:val="en-US" w:eastAsia="zh-CN"/>
              </w:rPr>
              <w:t>④初期雨水</w:t>
            </w:r>
          </w:p>
          <w:p>
            <w:pPr>
              <w:pStyle w:val="30"/>
              <w:spacing w:after="0" w:line="360" w:lineRule="auto"/>
              <w:ind w:left="0" w:leftChars="0" w:firstLine="480"/>
              <w:rPr>
                <w:u w:val="single"/>
              </w:rPr>
            </w:pPr>
            <w:r>
              <w:rPr>
                <w:rFonts w:hint="eastAsia"/>
                <w:u w:val="single"/>
                <w:lang w:eastAsia="zh-CN"/>
              </w:rPr>
              <w:t>本项目总占地面积</w:t>
            </w:r>
            <w:r>
              <w:rPr>
                <w:rFonts w:hint="eastAsia"/>
                <w:u w:val="single"/>
                <w:lang w:val="en-US" w:eastAsia="zh-CN"/>
              </w:rPr>
              <w:t>6322.91</w:t>
            </w:r>
            <w:r>
              <w:rPr>
                <w:rFonts w:hint="default"/>
                <w:u w:val="single"/>
                <w:lang w:val="en-US" w:eastAsia="zh-CN"/>
              </w:rPr>
              <w:t>m</w:t>
            </w:r>
            <w:r>
              <w:rPr>
                <w:rFonts w:hint="default"/>
                <w:u w:val="single"/>
                <w:vertAlign w:val="superscript"/>
                <w:lang w:val="en-US" w:eastAsia="zh-CN"/>
              </w:rPr>
              <w:t>2</w:t>
            </w:r>
            <w:r>
              <w:rPr>
                <w:rFonts w:hint="eastAsia"/>
                <w:u w:val="single"/>
                <w:lang w:val="en-US" w:eastAsia="zh-CN"/>
              </w:rPr>
              <w:t>，区域汇水面积为4411.05平方米</w:t>
            </w:r>
            <w:r>
              <w:rPr>
                <w:u w:val="single"/>
              </w:rPr>
              <w:t>，裸露地表在雨季会产生地表径流，主要污染物为SS。根据室外排水设计手册，降雨强度与设计重现期、降雨历时的关系如下：</w:t>
            </w:r>
          </w:p>
          <w:p>
            <w:pPr>
              <w:adjustRightInd w:val="0"/>
              <w:snapToGrid w:val="0"/>
              <w:spacing w:line="360" w:lineRule="auto"/>
              <w:jc w:val="center"/>
              <w:rPr>
                <w:u w:val="single"/>
              </w:rPr>
            </w:pPr>
            <w:r>
              <w:rPr>
                <w:u w:val="single"/>
              </w:rPr>
              <w:t>q=(986.10+668.071lgT)/(t+2.9820)0.5142</w:t>
            </w:r>
          </w:p>
          <w:p>
            <w:pPr>
              <w:adjustRightInd w:val="0"/>
              <w:snapToGrid w:val="0"/>
              <w:spacing w:line="360" w:lineRule="auto"/>
              <w:ind w:firstLine="480" w:firstLineChars="200"/>
              <w:jc w:val="left"/>
              <w:rPr>
                <w:u w:val="single"/>
              </w:rPr>
            </w:pPr>
            <w:r>
              <w:rPr>
                <w:u w:val="single"/>
              </w:rPr>
              <w:t>q——设计降雨强度，L/s·10000m</w:t>
            </w:r>
            <w:r>
              <w:rPr>
                <w:u w:val="single"/>
                <w:vertAlign w:val="superscript"/>
              </w:rPr>
              <w:t>2</w:t>
            </w:r>
            <w:r>
              <w:rPr>
                <w:u w:val="single"/>
              </w:rPr>
              <w:t>；</w:t>
            </w:r>
          </w:p>
          <w:p>
            <w:pPr>
              <w:adjustRightInd w:val="0"/>
              <w:snapToGrid w:val="0"/>
              <w:spacing w:line="360" w:lineRule="auto"/>
              <w:ind w:firstLine="480" w:firstLineChars="200"/>
              <w:jc w:val="left"/>
              <w:rPr>
                <w:u w:val="single"/>
              </w:rPr>
            </w:pPr>
            <w:r>
              <w:rPr>
                <w:u w:val="single"/>
              </w:rPr>
              <w:t>T——设计重现期，a；</w:t>
            </w:r>
          </w:p>
          <w:p>
            <w:pPr>
              <w:adjustRightInd w:val="0"/>
              <w:snapToGrid w:val="0"/>
              <w:spacing w:line="360" w:lineRule="auto"/>
              <w:ind w:firstLine="480" w:firstLineChars="200"/>
              <w:jc w:val="left"/>
              <w:rPr>
                <w:u w:val="single"/>
              </w:rPr>
            </w:pPr>
            <w:r>
              <w:rPr>
                <w:u w:val="single"/>
              </w:rPr>
              <w:t>t——降雨历时，min。</w:t>
            </w:r>
          </w:p>
          <w:p>
            <w:pPr>
              <w:adjustRightInd w:val="0"/>
              <w:snapToGrid w:val="0"/>
              <w:spacing w:line="360" w:lineRule="auto"/>
              <w:ind w:firstLine="480" w:firstLineChars="200"/>
              <w:jc w:val="left"/>
              <w:rPr>
                <w:u w:val="single"/>
              </w:rPr>
            </w:pPr>
            <w:r>
              <w:rPr>
                <w:u w:val="single"/>
              </w:rPr>
              <w:t>室外地面降雨历时一般取10~25min，t取15min；T取3a。</w:t>
            </w:r>
          </w:p>
          <w:p>
            <w:pPr>
              <w:adjustRightInd w:val="0"/>
              <w:snapToGrid w:val="0"/>
              <w:spacing w:line="360" w:lineRule="auto"/>
              <w:ind w:firstLine="480" w:firstLineChars="200"/>
              <w:jc w:val="left"/>
              <w:rPr>
                <w:u w:val="single"/>
              </w:rPr>
            </w:pPr>
            <w:r>
              <w:rPr>
                <w:u w:val="single"/>
              </w:rPr>
              <w:t>根据上述公式，计算得出q=260.34L/s·10000m</w:t>
            </w:r>
            <w:r>
              <w:rPr>
                <w:u w:val="single"/>
                <w:vertAlign w:val="superscript"/>
              </w:rPr>
              <w:t>2</w:t>
            </w:r>
            <w:r>
              <w:rPr>
                <w:u w:val="single"/>
              </w:rPr>
              <w:t>，</w:t>
            </w:r>
            <w:r>
              <w:rPr>
                <w:rFonts w:hint="eastAsia"/>
                <w:u w:val="single"/>
                <w:lang w:eastAsia="zh-CN"/>
              </w:rPr>
              <w:t>本项目总占地面积</w:t>
            </w:r>
            <w:r>
              <w:rPr>
                <w:rFonts w:hint="eastAsia"/>
                <w:u w:val="single"/>
                <w:lang w:val="en-US" w:eastAsia="zh-CN"/>
              </w:rPr>
              <w:t>6322.91m</w:t>
            </w:r>
            <w:r>
              <w:rPr>
                <w:rFonts w:hint="eastAsia"/>
                <w:u w:val="single"/>
                <w:vertAlign w:val="superscript"/>
                <w:lang w:val="en-US" w:eastAsia="zh-CN"/>
              </w:rPr>
              <w:t>2</w:t>
            </w:r>
            <w:r>
              <w:rPr>
                <w:rFonts w:hint="eastAsia"/>
                <w:u w:val="single"/>
                <w:lang w:val="en-US" w:eastAsia="zh-CN"/>
              </w:rPr>
              <w:t>，项目绿化面积1580.73m</w:t>
            </w:r>
            <w:r>
              <w:rPr>
                <w:rFonts w:hint="eastAsia"/>
                <w:u w:val="single"/>
                <w:vertAlign w:val="superscript"/>
                <w:lang w:val="en-US" w:eastAsia="zh-CN"/>
              </w:rPr>
              <w:t>2</w:t>
            </w:r>
            <w:r>
              <w:rPr>
                <w:rFonts w:hint="eastAsia"/>
                <w:u w:val="single"/>
                <w:vertAlign w:val="baseline"/>
                <w:lang w:val="en-US" w:eastAsia="zh-CN"/>
              </w:rPr>
              <w:t>，</w:t>
            </w:r>
            <w:r>
              <w:rPr>
                <w:rFonts w:hint="eastAsia"/>
                <w:u w:val="single"/>
                <w:lang w:val="en-US" w:eastAsia="zh-CN"/>
              </w:rPr>
              <w:t>项目地表径流面积为2830.32m</w:t>
            </w:r>
            <w:r>
              <w:rPr>
                <w:rFonts w:hint="eastAsia"/>
                <w:u w:val="single"/>
                <w:vertAlign w:val="superscript"/>
                <w:lang w:val="en-US" w:eastAsia="zh-CN"/>
              </w:rPr>
              <w:t>2</w:t>
            </w:r>
            <w:r>
              <w:rPr>
                <w:rFonts w:hint="eastAsia"/>
                <w:u w:val="single"/>
                <w:lang w:val="en-US" w:eastAsia="zh-CN"/>
              </w:rPr>
              <w:t>。</w:t>
            </w:r>
            <w:r>
              <w:rPr>
                <w:u w:val="single"/>
              </w:rPr>
              <w:t>场地内道路为混凝土地面，</w:t>
            </w:r>
            <w:r>
              <w:rPr>
                <w:rFonts w:hint="eastAsia"/>
                <w:u w:val="single"/>
                <w:lang w:eastAsia="zh-CN"/>
              </w:rPr>
              <w:t>项目地势较为平坦，</w:t>
            </w:r>
            <w:r>
              <w:rPr>
                <w:u w:val="single"/>
              </w:rPr>
              <w:t>径流系数取</w:t>
            </w:r>
            <w:r>
              <w:rPr>
                <w:rFonts w:hint="eastAsia"/>
                <w:u w:val="single"/>
                <w:lang w:val="en-US" w:eastAsia="zh-CN"/>
              </w:rPr>
              <w:t>0.7</w:t>
            </w:r>
            <w:r>
              <w:rPr>
                <w:u w:val="single"/>
              </w:rPr>
              <w:t>。通过计算，项目生产区初期雨水量为</w:t>
            </w:r>
            <w:r>
              <w:rPr>
                <w:rFonts w:hint="eastAsia"/>
                <w:u w:val="single"/>
                <w:lang w:val="en-US" w:eastAsia="zh-CN"/>
              </w:rPr>
              <w:t>45.92</w:t>
            </w:r>
            <w:r>
              <w:rPr>
                <w:u w:val="single"/>
              </w:rPr>
              <w:t>m</w:t>
            </w:r>
            <w:r>
              <w:rPr>
                <w:u w:val="single"/>
                <w:vertAlign w:val="superscript"/>
              </w:rPr>
              <w:t>3</w:t>
            </w:r>
            <w:r>
              <w:rPr>
                <w:u w:val="single"/>
              </w:rPr>
              <w:t>/次。</w:t>
            </w:r>
          </w:p>
          <w:p>
            <w:pPr>
              <w:bidi w:val="0"/>
              <w:rPr>
                <w:rFonts w:hint="eastAsia" w:eastAsia="宋体"/>
                <w:lang w:val="en-US" w:eastAsia="zh-CN"/>
              </w:rPr>
            </w:pPr>
            <w:r>
              <w:rPr>
                <w:u w:val="single"/>
              </w:rPr>
              <w:t>项目</w:t>
            </w:r>
            <w:r>
              <w:rPr>
                <w:rFonts w:hint="eastAsia"/>
                <w:u w:val="single"/>
                <w:lang w:eastAsia="zh-CN"/>
              </w:rPr>
              <w:t>厂区前</w:t>
            </w:r>
            <w:r>
              <w:rPr>
                <w:u w:val="single"/>
              </w:rPr>
              <w:t>15min的初期雨水将进入厂区</w:t>
            </w:r>
            <w:r>
              <w:rPr>
                <w:rFonts w:hint="eastAsia"/>
                <w:u w:val="single"/>
                <w:lang w:eastAsia="zh-CN"/>
              </w:rPr>
              <w:t>西南</w:t>
            </w:r>
            <w:r>
              <w:rPr>
                <w:u w:val="single"/>
              </w:rPr>
              <w:t>侧</w:t>
            </w:r>
            <w:r>
              <w:rPr>
                <w:rFonts w:hint="eastAsia"/>
                <w:u w:val="single"/>
                <w:lang w:val="en-US" w:eastAsia="zh-CN"/>
              </w:rPr>
              <w:t>46</w:t>
            </w:r>
            <w:r>
              <w:rPr>
                <w:u w:val="single"/>
              </w:rPr>
              <w:t>m</w:t>
            </w:r>
            <w:r>
              <w:rPr>
                <w:u w:val="single"/>
                <w:vertAlign w:val="superscript"/>
              </w:rPr>
              <w:t>3</w:t>
            </w:r>
            <w:r>
              <w:rPr>
                <w:u w:val="single"/>
              </w:rPr>
              <w:t>的</w:t>
            </w:r>
            <w:r>
              <w:rPr>
                <w:rFonts w:hint="eastAsia"/>
                <w:u w:val="single"/>
                <w:lang w:eastAsia="zh-CN"/>
              </w:rPr>
              <w:t>初期</w:t>
            </w:r>
            <w:r>
              <w:rPr>
                <w:u w:val="single"/>
              </w:rPr>
              <w:t>雨水沉淀池，回用</w:t>
            </w:r>
            <w:r>
              <w:rPr>
                <w:rFonts w:hint="eastAsia"/>
                <w:u w:val="single"/>
                <w:lang w:eastAsia="zh-CN"/>
              </w:rPr>
              <w:t>厂区洒水降尘及场地冲洗</w:t>
            </w:r>
            <w:r>
              <w:rPr>
                <w:u w:val="single"/>
              </w:rPr>
              <w:t>，后15min的初期雨水将通过切换阀门直接外排至厂区外</w:t>
            </w:r>
            <w:r>
              <w:rPr>
                <w:rFonts w:hint="eastAsia"/>
                <w:u w:val="single"/>
                <w:lang w:eastAsia="zh-CN"/>
              </w:rPr>
              <w:t>。</w:t>
            </w:r>
          </w:p>
          <w:p>
            <w:pPr>
              <w:bidi w:val="0"/>
              <w:jc w:val="both"/>
              <w:rPr>
                <w:u w:val="single"/>
              </w:rPr>
            </w:pPr>
            <w:r>
              <w:rPr>
                <w:rFonts w:hint="eastAsia"/>
                <w:u w:val="single"/>
                <w:lang w:eastAsia="zh-CN"/>
              </w:rPr>
              <w:t>综上，</w:t>
            </w:r>
            <w:r>
              <w:rPr>
                <w:rFonts w:hint="eastAsia"/>
                <w:u w:val="single"/>
              </w:rPr>
              <w:t>本项目渗滤液</w:t>
            </w:r>
            <w:r>
              <w:rPr>
                <w:rFonts w:hint="eastAsia"/>
                <w:u w:val="single"/>
                <w:lang w:eastAsia="zh-CN"/>
              </w:rPr>
              <w:t>由渗滤液真空收集系统收集至渗滤液收集池</w:t>
            </w:r>
            <w:r>
              <w:rPr>
                <w:rFonts w:hint="eastAsia"/>
                <w:u w:val="single"/>
              </w:rPr>
              <w:t>，部分流出渗滤液与场地冲洗废水、车辆冲洗废水、设备冲洗废水暂存于渗滤液收集池后</w:t>
            </w:r>
            <w:r>
              <w:rPr>
                <w:rFonts w:hint="eastAsia"/>
                <w:u w:val="single"/>
                <w:lang w:eastAsia="zh-CN"/>
              </w:rPr>
              <w:t>由管道输送至凤凰县垃圾填埋场渗滤液处理系统</w:t>
            </w:r>
            <w:r>
              <w:rPr>
                <w:rFonts w:hint="eastAsia"/>
                <w:u w:val="single"/>
              </w:rPr>
              <w:t>集中处理。</w:t>
            </w:r>
          </w:p>
          <w:p>
            <w:pPr>
              <w:pStyle w:val="12"/>
              <w:jc w:val="center"/>
              <w:rPr>
                <w:rFonts w:hint="eastAsia"/>
                <w:lang w:val="en-US" w:eastAsia="zh-CN"/>
              </w:rPr>
            </w:pPr>
            <w:r>
              <w:rPr>
                <w:rFonts w:hint="eastAsia"/>
                <w:lang w:val="en-US" w:eastAsia="zh-CN"/>
              </w:rPr>
              <w:drawing>
                <wp:inline distT="0" distB="0" distL="114300" distR="114300">
                  <wp:extent cx="3540125" cy="3286125"/>
                  <wp:effectExtent l="0" t="0" r="0" b="0"/>
                  <wp:docPr id="1" name="ECB019B1-382A-4266-B25C-5B523AA43C14-1" descr="C:/Users/Administrator/AppData/Local/Temp/wps.lCNwZk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Administrator/AppData/Local/Temp/wps.lCNwZkwps"/>
                          <pic:cNvPicPr>
                            <a:picLocks noChangeAspect="1"/>
                          </pic:cNvPicPr>
                        </pic:nvPicPr>
                        <pic:blipFill>
                          <a:blip r:embed="rId21"/>
                          <a:stretch>
                            <a:fillRect/>
                          </a:stretch>
                        </pic:blipFill>
                        <pic:spPr>
                          <a:xfrm>
                            <a:off x="0" y="0"/>
                            <a:ext cx="3540125" cy="3286125"/>
                          </a:xfrm>
                          <a:prstGeom prst="rect">
                            <a:avLst/>
                          </a:prstGeom>
                        </pic:spPr>
                      </pic:pic>
                    </a:graphicData>
                  </a:graphic>
                </wp:inline>
              </w:drawing>
            </w:r>
          </w:p>
          <w:p>
            <w:pPr>
              <w:pStyle w:val="39"/>
              <w:bidi w:val="0"/>
              <w:rPr>
                <w:rFonts w:hint="default"/>
                <w:u w:val="single"/>
                <w:lang w:val="en-US" w:eastAsia="zh-CN"/>
              </w:rPr>
            </w:pPr>
            <w:r>
              <w:rPr>
                <w:rFonts w:hint="eastAsia"/>
                <w:u w:val="single"/>
                <w:lang w:val="en-US" w:eastAsia="zh-CN"/>
              </w:rPr>
              <w:t>图2-1  项目水平衡图</w:t>
            </w:r>
          </w:p>
          <w:p>
            <w:pPr>
              <w:bidi w:val="0"/>
              <w:jc w:val="both"/>
              <w:rPr>
                <w:u w:val="single"/>
              </w:rPr>
            </w:pPr>
            <w:r>
              <w:rPr>
                <w:rFonts w:hint="eastAsia"/>
                <w:u w:val="single"/>
              </w:rPr>
              <w:t>根据前文分析，</w:t>
            </w:r>
            <w:r>
              <w:rPr>
                <w:rFonts w:hint="eastAsia"/>
                <w:u w:val="single"/>
                <w:lang w:eastAsia="zh-CN"/>
              </w:rPr>
              <w:t>凤凰县沱江镇高峰</w:t>
            </w:r>
            <w:r>
              <w:rPr>
                <w:rFonts w:hint="eastAsia"/>
                <w:u w:val="single"/>
              </w:rPr>
              <w:t>垃圾转运站废水产生量见下表：</w:t>
            </w:r>
          </w:p>
          <w:p>
            <w:pPr>
              <w:pStyle w:val="45"/>
              <w:bidi w:val="0"/>
              <w:rPr>
                <w:u w:val="single"/>
              </w:rPr>
            </w:pPr>
            <w:r>
              <w:rPr>
                <w:rFonts w:hint="eastAsia"/>
                <w:u w:val="single"/>
              </w:rPr>
              <w:t>表</w:t>
            </w:r>
            <w:r>
              <w:rPr>
                <w:rFonts w:hint="eastAsia"/>
                <w:u w:val="single"/>
                <w:lang w:val="en-US" w:eastAsia="zh-CN"/>
              </w:rPr>
              <w:t>2-5</w:t>
            </w:r>
            <w:r>
              <w:rPr>
                <w:u w:val="single"/>
              </w:rPr>
              <w:t xml:space="preserve">  </w:t>
            </w:r>
            <w:r>
              <w:rPr>
                <w:rFonts w:hint="eastAsia"/>
                <w:u w:val="single"/>
              </w:rPr>
              <w:t>项目运营期生产废水情况一览表</w:t>
            </w:r>
          </w:p>
          <w:tbl>
            <w:tblPr>
              <w:tblStyle w:val="31"/>
              <w:tblW w:w="48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930"/>
              <w:gridCol w:w="2686"/>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12" w:type="pct"/>
                  <w:vMerge w:val="restart"/>
                  <w:shd w:val="clear" w:color="auto" w:fill="auto"/>
                  <w:noWrap w:val="0"/>
                  <w:vAlign w:val="center"/>
                </w:tcPr>
                <w:p>
                  <w:pPr>
                    <w:pStyle w:val="38"/>
                    <w:bidi w:val="0"/>
                    <w:rPr>
                      <w:rFonts w:hint="default"/>
                      <w:u w:val="single"/>
                    </w:rPr>
                  </w:pPr>
                  <w:r>
                    <w:rPr>
                      <w:rFonts w:hint="default"/>
                      <w:u w:val="single"/>
                    </w:rPr>
                    <w:t>项目</w:t>
                  </w:r>
                </w:p>
              </w:tc>
              <w:tc>
                <w:tcPr>
                  <w:tcW w:w="1263" w:type="pct"/>
                  <w:vMerge w:val="restart"/>
                  <w:shd w:val="clear" w:color="auto" w:fill="auto"/>
                  <w:noWrap w:val="0"/>
                  <w:vAlign w:val="center"/>
                </w:tcPr>
                <w:p>
                  <w:pPr>
                    <w:pStyle w:val="38"/>
                    <w:bidi w:val="0"/>
                    <w:rPr>
                      <w:rFonts w:hint="default"/>
                      <w:u w:val="single"/>
                    </w:rPr>
                  </w:pPr>
                  <w:r>
                    <w:rPr>
                      <w:rFonts w:hint="default"/>
                      <w:u w:val="single"/>
                    </w:rPr>
                    <w:t>类别</w:t>
                  </w:r>
                </w:p>
              </w:tc>
              <w:tc>
                <w:tcPr>
                  <w:tcW w:w="3324" w:type="pct"/>
                  <w:gridSpan w:val="2"/>
                  <w:shd w:val="clear" w:color="auto" w:fill="auto"/>
                  <w:noWrap w:val="0"/>
                  <w:vAlign w:val="center"/>
                </w:tcPr>
                <w:p>
                  <w:pPr>
                    <w:pStyle w:val="38"/>
                    <w:bidi w:val="0"/>
                    <w:rPr>
                      <w:rFonts w:hint="default"/>
                      <w:u w:val="single"/>
                    </w:rPr>
                  </w:pPr>
                  <w:r>
                    <w:rPr>
                      <w:rFonts w:hint="default"/>
                      <w:u w:val="single"/>
                    </w:rPr>
                    <w:t>废水产生量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12" w:type="pct"/>
                  <w:vMerge w:val="continue"/>
                  <w:shd w:val="clear" w:color="auto" w:fill="auto"/>
                  <w:noWrap w:val="0"/>
                  <w:vAlign w:val="center"/>
                </w:tcPr>
                <w:p>
                  <w:pPr>
                    <w:pStyle w:val="38"/>
                    <w:bidi w:val="0"/>
                    <w:rPr>
                      <w:rFonts w:hint="default"/>
                      <w:u w:val="single"/>
                    </w:rPr>
                  </w:pPr>
                </w:p>
              </w:tc>
              <w:tc>
                <w:tcPr>
                  <w:tcW w:w="1263" w:type="pct"/>
                  <w:vMerge w:val="continue"/>
                  <w:shd w:val="clear" w:color="auto" w:fill="auto"/>
                  <w:noWrap w:val="0"/>
                  <w:vAlign w:val="center"/>
                </w:tcPr>
                <w:p>
                  <w:pPr>
                    <w:pStyle w:val="38"/>
                    <w:bidi w:val="0"/>
                    <w:rPr>
                      <w:rFonts w:hint="default"/>
                      <w:u w:val="single"/>
                    </w:rPr>
                  </w:pPr>
                </w:p>
              </w:tc>
              <w:tc>
                <w:tcPr>
                  <w:tcW w:w="1758" w:type="pct"/>
                  <w:shd w:val="clear" w:color="auto" w:fill="auto"/>
                  <w:noWrap w:val="0"/>
                  <w:vAlign w:val="center"/>
                </w:tcPr>
                <w:p>
                  <w:pPr>
                    <w:pStyle w:val="38"/>
                    <w:bidi w:val="0"/>
                    <w:rPr>
                      <w:rFonts w:hint="eastAsia" w:eastAsia="宋体"/>
                      <w:u w:val="single"/>
                      <w:lang w:eastAsia="zh-CN"/>
                    </w:rPr>
                  </w:pPr>
                  <w:r>
                    <w:rPr>
                      <w:rFonts w:hint="default"/>
                      <w:u w:val="single"/>
                    </w:rPr>
                    <w:t>t/d</w:t>
                  </w:r>
                  <w:r>
                    <w:rPr>
                      <w:rFonts w:hint="eastAsia"/>
                      <w:u w:val="single"/>
                      <w:lang w:eastAsia="zh-CN"/>
                    </w:rPr>
                    <w:t>（日最大）</w:t>
                  </w:r>
                </w:p>
              </w:tc>
              <w:tc>
                <w:tcPr>
                  <w:tcW w:w="1566" w:type="pct"/>
                  <w:shd w:val="clear" w:color="auto" w:fill="auto"/>
                  <w:noWrap w:val="0"/>
                  <w:vAlign w:val="center"/>
                </w:tcPr>
                <w:p>
                  <w:pPr>
                    <w:pStyle w:val="38"/>
                    <w:bidi w:val="0"/>
                    <w:rPr>
                      <w:rFonts w:hint="default"/>
                      <w:u w:val="single"/>
                    </w:rPr>
                  </w:pPr>
                  <w:r>
                    <w:rPr>
                      <w:rFonts w:hint="default"/>
                      <w:u w:val="singl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12" w:type="pct"/>
                  <w:vMerge w:val="restart"/>
                  <w:shd w:val="clear" w:color="auto" w:fill="auto"/>
                  <w:noWrap w:val="0"/>
                  <w:vAlign w:val="center"/>
                </w:tcPr>
                <w:p>
                  <w:pPr>
                    <w:pStyle w:val="38"/>
                    <w:bidi w:val="0"/>
                    <w:rPr>
                      <w:rFonts w:hint="default"/>
                      <w:u w:val="single"/>
                    </w:rPr>
                  </w:pPr>
                  <w:r>
                    <w:rPr>
                      <w:rFonts w:hint="default"/>
                      <w:u w:val="single"/>
                      <w:lang w:eastAsia="zh-CN"/>
                    </w:rPr>
                    <w:t>凤凰县高峰</w:t>
                  </w:r>
                  <w:r>
                    <w:rPr>
                      <w:rFonts w:hint="default"/>
                      <w:u w:val="single"/>
                    </w:rPr>
                    <w:t>垃圾转运站</w:t>
                  </w:r>
                </w:p>
              </w:tc>
              <w:tc>
                <w:tcPr>
                  <w:tcW w:w="1263" w:type="pct"/>
                  <w:shd w:val="clear" w:color="auto" w:fill="auto"/>
                  <w:noWrap w:val="0"/>
                  <w:vAlign w:val="center"/>
                </w:tcPr>
                <w:p>
                  <w:pPr>
                    <w:pStyle w:val="38"/>
                    <w:bidi w:val="0"/>
                    <w:rPr>
                      <w:rFonts w:hint="default"/>
                      <w:u w:val="single"/>
                    </w:rPr>
                  </w:pPr>
                  <w:r>
                    <w:rPr>
                      <w:rFonts w:hint="default"/>
                      <w:u w:val="single"/>
                    </w:rPr>
                    <w:t>员工生活用水</w:t>
                  </w:r>
                </w:p>
              </w:tc>
              <w:tc>
                <w:tcPr>
                  <w:tcW w:w="1758" w:type="pct"/>
                  <w:shd w:val="clear" w:color="auto" w:fill="auto"/>
                  <w:noWrap w:val="0"/>
                  <w:vAlign w:val="center"/>
                </w:tcPr>
                <w:p>
                  <w:pPr>
                    <w:pStyle w:val="38"/>
                    <w:bidi w:val="0"/>
                    <w:rPr>
                      <w:rFonts w:hint="default"/>
                      <w:u w:val="single"/>
                    </w:rPr>
                  </w:pPr>
                  <w:r>
                    <w:rPr>
                      <w:rFonts w:hint="default"/>
                      <w:u w:val="single"/>
                    </w:rPr>
                    <w:t>0.38</w:t>
                  </w:r>
                </w:p>
              </w:tc>
              <w:tc>
                <w:tcPr>
                  <w:tcW w:w="1566" w:type="pct"/>
                  <w:shd w:val="clear" w:color="auto" w:fill="auto"/>
                  <w:noWrap w:val="0"/>
                  <w:vAlign w:val="center"/>
                </w:tcPr>
                <w:p>
                  <w:pPr>
                    <w:pStyle w:val="38"/>
                    <w:bidi w:val="0"/>
                    <w:rPr>
                      <w:rFonts w:hint="default"/>
                      <w:u w:val="single"/>
                    </w:rPr>
                  </w:pPr>
                  <w:r>
                    <w:rPr>
                      <w:rFonts w:hint="default"/>
                      <w:u w:val="single"/>
                    </w:rPr>
                    <w:t>138.7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12" w:type="pct"/>
                  <w:vMerge w:val="continue"/>
                  <w:shd w:val="clear" w:color="auto" w:fill="auto"/>
                  <w:noWrap w:val="0"/>
                  <w:vAlign w:val="center"/>
                </w:tcPr>
                <w:p>
                  <w:pPr>
                    <w:pStyle w:val="38"/>
                    <w:bidi w:val="0"/>
                    <w:rPr>
                      <w:rFonts w:hint="default"/>
                      <w:u w:val="single"/>
                    </w:rPr>
                  </w:pPr>
                </w:p>
              </w:tc>
              <w:tc>
                <w:tcPr>
                  <w:tcW w:w="1263" w:type="pct"/>
                  <w:shd w:val="clear" w:color="auto" w:fill="auto"/>
                  <w:noWrap w:val="0"/>
                  <w:vAlign w:val="center"/>
                </w:tcPr>
                <w:p>
                  <w:pPr>
                    <w:pStyle w:val="38"/>
                    <w:bidi w:val="0"/>
                    <w:rPr>
                      <w:rFonts w:hint="default"/>
                      <w:u w:val="single"/>
                    </w:rPr>
                  </w:pPr>
                  <w:r>
                    <w:rPr>
                      <w:rFonts w:hint="default"/>
                      <w:u w:val="single"/>
                    </w:rPr>
                    <w:t>设备冲洗用水</w:t>
                  </w:r>
                </w:p>
              </w:tc>
              <w:tc>
                <w:tcPr>
                  <w:tcW w:w="1758" w:type="pct"/>
                  <w:shd w:val="clear" w:color="auto" w:fill="auto"/>
                  <w:noWrap w:val="0"/>
                  <w:vAlign w:val="center"/>
                </w:tcPr>
                <w:p>
                  <w:pPr>
                    <w:pStyle w:val="38"/>
                    <w:bidi w:val="0"/>
                    <w:rPr>
                      <w:rFonts w:hint="default"/>
                      <w:u w:val="single"/>
                    </w:rPr>
                  </w:pPr>
                  <w:r>
                    <w:rPr>
                      <w:rFonts w:hint="default"/>
                      <w:u w:val="single"/>
                    </w:rPr>
                    <w:t>0.85</w:t>
                  </w:r>
                </w:p>
              </w:tc>
              <w:tc>
                <w:tcPr>
                  <w:tcW w:w="1566" w:type="pct"/>
                  <w:shd w:val="clear" w:color="auto" w:fill="auto"/>
                  <w:noWrap w:val="0"/>
                  <w:vAlign w:val="center"/>
                </w:tcPr>
                <w:p>
                  <w:pPr>
                    <w:pStyle w:val="38"/>
                    <w:bidi w:val="0"/>
                    <w:rPr>
                      <w:rFonts w:hint="default"/>
                      <w:u w:val="single"/>
                    </w:rPr>
                  </w:pPr>
                  <w:r>
                    <w:rPr>
                      <w:rFonts w:hint="default"/>
                      <w:u w:val="single"/>
                    </w:rPr>
                    <w:t>310.25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12" w:type="pct"/>
                  <w:vMerge w:val="continue"/>
                  <w:shd w:val="clear" w:color="auto" w:fill="auto"/>
                  <w:noWrap w:val="0"/>
                  <w:vAlign w:val="center"/>
                </w:tcPr>
                <w:p>
                  <w:pPr>
                    <w:pStyle w:val="38"/>
                    <w:bidi w:val="0"/>
                    <w:rPr>
                      <w:rFonts w:hint="default"/>
                      <w:u w:val="single"/>
                    </w:rPr>
                  </w:pPr>
                </w:p>
              </w:tc>
              <w:tc>
                <w:tcPr>
                  <w:tcW w:w="1263" w:type="pct"/>
                  <w:shd w:val="clear" w:color="auto" w:fill="auto"/>
                  <w:noWrap w:val="0"/>
                  <w:vAlign w:val="center"/>
                </w:tcPr>
                <w:p>
                  <w:pPr>
                    <w:pStyle w:val="38"/>
                    <w:bidi w:val="0"/>
                    <w:rPr>
                      <w:rFonts w:hint="default"/>
                      <w:u w:val="single"/>
                    </w:rPr>
                  </w:pPr>
                  <w:r>
                    <w:rPr>
                      <w:rFonts w:hint="default"/>
                      <w:u w:val="single"/>
                    </w:rPr>
                    <w:t>车辆冲洗用水</w:t>
                  </w:r>
                </w:p>
              </w:tc>
              <w:tc>
                <w:tcPr>
                  <w:tcW w:w="1758" w:type="pct"/>
                  <w:shd w:val="clear" w:color="auto" w:fill="auto"/>
                  <w:noWrap w:val="0"/>
                  <w:vAlign w:val="center"/>
                </w:tcPr>
                <w:p>
                  <w:pPr>
                    <w:pStyle w:val="38"/>
                    <w:bidi w:val="0"/>
                    <w:rPr>
                      <w:rFonts w:hint="default"/>
                      <w:u w:val="single"/>
                      <w:lang w:val="en-US" w:eastAsia="zh-CN"/>
                    </w:rPr>
                  </w:pPr>
                  <w:r>
                    <w:rPr>
                      <w:rFonts w:hint="default"/>
                      <w:u w:val="single"/>
                      <w:lang w:val="en-US" w:eastAsia="zh-CN"/>
                    </w:rPr>
                    <w:t>0.0765</w:t>
                  </w:r>
                </w:p>
              </w:tc>
              <w:tc>
                <w:tcPr>
                  <w:tcW w:w="1566" w:type="pct"/>
                  <w:shd w:val="clear" w:color="auto" w:fill="auto"/>
                  <w:noWrap w:val="0"/>
                  <w:vAlign w:val="center"/>
                </w:tcPr>
                <w:p>
                  <w:pPr>
                    <w:pStyle w:val="38"/>
                    <w:bidi w:val="0"/>
                    <w:rPr>
                      <w:rFonts w:hint="default"/>
                      <w:u w:val="single"/>
                      <w:lang w:val="en-US" w:eastAsia="zh-CN"/>
                    </w:rPr>
                  </w:pPr>
                  <w:r>
                    <w:rPr>
                      <w:rFonts w:hint="default"/>
                      <w:u w:val="single"/>
                      <w:lang w:val="en-US" w:eastAsia="zh-CN"/>
                    </w:rPr>
                    <w:t>27.92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12" w:type="pct"/>
                  <w:vMerge w:val="continue"/>
                  <w:shd w:val="clear" w:color="auto" w:fill="auto"/>
                  <w:noWrap w:val="0"/>
                  <w:vAlign w:val="center"/>
                </w:tcPr>
                <w:p>
                  <w:pPr>
                    <w:pStyle w:val="38"/>
                    <w:bidi w:val="0"/>
                    <w:rPr>
                      <w:rFonts w:hint="default"/>
                      <w:u w:val="single"/>
                    </w:rPr>
                  </w:pPr>
                </w:p>
              </w:tc>
              <w:tc>
                <w:tcPr>
                  <w:tcW w:w="1263" w:type="pct"/>
                  <w:shd w:val="clear" w:color="auto" w:fill="auto"/>
                  <w:noWrap w:val="0"/>
                  <w:vAlign w:val="center"/>
                </w:tcPr>
                <w:p>
                  <w:pPr>
                    <w:pStyle w:val="38"/>
                    <w:bidi w:val="0"/>
                    <w:rPr>
                      <w:rFonts w:hint="default"/>
                      <w:u w:val="single"/>
                    </w:rPr>
                  </w:pPr>
                  <w:r>
                    <w:rPr>
                      <w:rFonts w:hint="default"/>
                      <w:u w:val="single"/>
                    </w:rPr>
                    <w:t>场地冲洗用水</w:t>
                  </w:r>
                </w:p>
              </w:tc>
              <w:tc>
                <w:tcPr>
                  <w:tcW w:w="1758" w:type="pct"/>
                  <w:shd w:val="clear" w:color="auto" w:fill="auto"/>
                  <w:noWrap w:val="0"/>
                  <w:vAlign w:val="center"/>
                </w:tcPr>
                <w:p>
                  <w:pPr>
                    <w:pStyle w:val="38"/>
                    <w:bidi w:val="0"/>
                    <w:rPr>
                      <w:rFonts w:hint="default"/>
                      <w:u w:val="single"/>
                      <w:lang w:val="en-US" w:eastAsia="zh-CN"/>
                    </w:rPr>
                  </w:pPr>
                  <w:r>
                    <w:rPr>
                      <w:rFonts w:hint="eastAsia"/>
                      <w:u w:val="single"/>
                      <w:lang w:val="en-US" w:eastAsia="zh-CN"/>
                    </w:rPr>
                    <w:t>5.65</w:t>
                  </w:r>
                </w:p>
              </w:tc>
              <w:tc>
                <w:tcPr>
                  <w:tcW w:w="1566" w:type="pct"/>
                  <w:shd w:val="clear" w:color="auto" w:fill="auto"/>
                  <w:noWrap w:val="0"/>
                  <w:vAlign w:val="center"/>
                </w:tcPr>
                <w:p>
                  <w:pPr>
                    <w:pStyle w:val="38"/>
                    <w:bidi w:val="0"/>
                    <w:rPr>
                      <w:rFonts w:hint="default"/>
                      <w:u w:val="single"/>
                      <w:lang w:val="en-US" w:eastAsia="zh-CN"/>
                    </w:rPr>
                  </w:pPr>
                  <w:r>
                    <w:rPr>
                      <w:rFonts w:hint="default"/>
                      <w:u w:val="single"/>
                      <w:lang w:val="en-US" w:eastAsia="zh-CN"/>
                    </w:rPr>
                    <w:t>271.456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12" w:type="pct"/>
                  <w:vMerge w:val="continue"/>
                  <w:shd w:val="clear" w:color="auto" w:fill="auto"/>
                  <w:noWrap w:val="0"/>
                  <w:vAlign w:val="center"/>
                </w:tcPr>
                <w:p>
                  <w:pPr>
                    <w:pStyle w:val="38"/>
                    <w:bidi w:val="0"/>
                    <w:rPr>
                      <w:rFonts w:hint="default"/>
                      <w:u w:val="single"/>
                    </w:rPr>
                  </w:pPr>
                </w:p>
              </w:tc>
              <w:tc>
                <w:tcPr>
                  <w:tcW w:w="1263" w:type="pct"/>
                  <w:shd w:val="clear" w:color="auto" w:fill="auto"/>
                  <w:noWrap w:val="0"/>
                  <w:vAlign w:val="center"/>
                </w:tcPr>
                <w:p>
                  <w:pPr>
                    <w:pStyle w:val="38"/>
                    <w:bidi w:val="0"/>
                    <w:rPr>
                      <w:rFonts w:hint="default"/>
                      <w:u w:val="single"/>
                    </w:rPr>
                  </w:pPr>
                  <w:r>
                    <w:rPr>
                      <w:rFonts w:hint="default"/>
                      <w:u w:val="single"/>
                    </w:rPr>
                    <w:t>渗滤液</w:t>
                  </w:r>
                </w:p>
              </w:tc>
              <w:tc>
                <w:tcPr>
                  <w:tcW w:w="1758" w:type="pct"/>
                  <w:shd w:val="clear" w:color="auto" w:fill="auto"/>
                  <w:noWrap w:val="0"/>
                  <w:vAlign w:val="center"/>
                </w:tcPr>
                <w:p>
                  <w:pPr>
                    <w:pStyle w:val="38"/>
                    <w:bidi w:val="0"/>
                    <w:rPr>
                      <w:rFonts w:hint="default"/>
                      <w:u w:val="single"/>
                      <w:lang w:val="en-US" w:eastAsia="zh-CN"/>
                    </w:rPr>
                  </w:pPr>
                  <w:r>
                    <w:rPr>
                      <w:rFonts w:hint="default"/>
                      <w:u w:val="single"/>
                      <w:lang w:val="en-US" w:eastAsia="zh-CN"/>
                    </w:rPr>
                    <w:t>12</w:t>
                  </w:r>
                </w:p>
              </w:tc>
              <w:tc>
                <w:tcPr>
                  <w:tcW w:w="1566" w:type="pct"/>
                  <w:shd w:val="clear" w:color="auto" w:fill="auto"/>
                  <w:noWrap w:val="0"/>
                  <w:vAlign w:val="center"/>
                </w:tcPr>
                <w:p>
                  <w:pPr>
                    <w:pStyle w:val="38"/>
                    <w:bidi w:val="0"/>
                    <w:rPr>
                      <w:rFonts w:hint="default"/>
                      <w:u w:val="single"/>
                      <w:lang w:val="en-US" w:eastAsia="zh-CN"/>
                    </w:rPr>
                  </w:pPr>
                  <w:r>
                    <w:rPr>
                      <w:rFonts w:hint="default"/>
                      <w:u w:val="single"/>
                      <w:lang w:val="en-US" w:eastAsia="zh-CN"/>
                    </w:rPr>
                    <w:t>4380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675" w:type="pct"/>
                  <w:gridSpan w:val="2"/>
                  <w:shd w:val="clear" w:color="auto" w:fill="auto"/>
                  <w:noWrap w:val="0"/>
                  <w:vAlign w:val="center"/>
                </w:tcPr>
                <w:p>
                  <w:pPr>
                    <w:pStyle w:val="38"/>
                    <w:bidi w:val="0"/>
                    <w:rPr>
                      <w:rFonts w:hint="default"/>
                      <w:u w:val="single"/>
                    </w:rPr>
                  </w:pPr>
                  <w:r>
                    <w:rPr>
                      <w:rFonts w:hint="default"/>
                      <w:u w:val="single"/>
                    </w:rPr>
                    <w:t>合计</w:t>
                  </w:r>
                </w:p>
              </w:tc>
              <w:tc>
                <w:tcPr>
                  <w:tcW w:w="1758" w:type="pct"/>
                  <w:shd w:val="clear" w:color="auto" w:fill="auto"/>
                  <w:noWrap w:val="0"/>
                  <w:vAlign w:val="center"/>
                </w:tcPr>
                <w:p>
                  <w:pPr>
                    <w:pStyle w:val="38"/>
                    <w:bidi w:val="0"/>
                    <w:rPr>
                      <w:rFonts w:hint="default"/>
                      <w:u w:val="single"/>
                      <w:lang w:val="en-US" w:eastAsia="zh-CN"/>
                    </w:rPr>
                  </w:pPr>
                  <w:r>
                    <w:rPr>
                      <w:rFonts w:hint="eastAsia"/>
                      <w:u w:val="single"/>
                      <w:lang w:val="en-US" w:eastAsia="zh-CN"/>
                    </w:rPr>
                    <w:t>18.58</w:t>
                  </w:r>
                </w:p>
              </w:tc>
              <w:tc>
                <w:tcPr>
                  <w:tcW w:w="1566" w:type="pct"/>
                  <w:shd w:val="clear" w:color="auto" w:fill="auto"/>
                  <w:noWrap w:val="0"/>
                  <w:vAlign w:val="center"/>
                </w:tcPr>
                <w:p>
                  <w:pPr>
                    <w:pStyle w:val="38"/>
                    <w:bidi w:val="0"/>
                    <w:rPr>
                      <w:rFonts w:hint="default"/>
                      <w:u w:val="single"/>
                      <w:lang w:val="en-US" w:eastAsia="zh-CN"/>
                    </w:rPr>
                  </w:pPr>
                  <w:r>
                    <w:rPr>
                      <w:rFonts w:hint="eastAsia"/>
                      <w:u w:val="single"/>
                      <w:lang w:val="en-US" w:eastAsia="zh-CN"/>
                    </w:rPr>
                    <w:t>5128.25</w:t>
                  </w:r>
                </w:p>
              </w:tc>
            </w:tr>
          </w:tbl>
          <w:p>
            <w:pPr>
              <w:pStyle w:val="9"/>
              <w:spacing w:before="192" w:after="192"/>
            </w:pPr>
            <w:r>
              <w:rPr>
                <w:rFonts w:hint="eastAsia"/>
                <w:lang w:val="en-US" w:eastAsia="zh-CN"/>
              </w:rPr>
              <w:t>（3）</w:t>
            </w:r>
            <w:r>
              <w:t>供配电系统</w:t>
            </w:r>
            <w:bookmarkEnd w:id="14"/>
            <w:bookmarkEnd w:id="15"/>
          </w:p>
          <w:p>
            <w:pPr>
              <w:ind w:firstLine="480"/>
              <w:jc w:val="both"/>
            </w:pPr>
            <w:r>
              <w:t>项目用电由当地区域电网提供，可满足本项目需求</w:t>
            </w:r>
            <w:r>
              <w:rPr>
                <w:rFonts w:hint="eastAsia"/>
              </w:rPr>
              <w:t>，在项目区内设一柴油发电机房作为消防负荷</w:t>
            </w:r>
            <w:r>
              <w:t>。</w:t>
            </w:r>
          </w:p>
          <w:p>
            <w:pPr>
              <w:pStyle w:val="9"/>
              <w:keepNext w:val="0"/>
              <w:keepLines w:val="0"/>
              <w:pageBreakBefore w:val="0"/>
              <w:widowControl w:val="0"/>
              <w:kinsoku/>
              <w:wordWrap w:val="0"/>
              <w:overflowPunct/>
              <w:topLinePunct w:val="0"/>
              <w:autoSpaceDE w:val="0"/>
              <w:autoSpaceDN w:val="0"/>
              <w:bidi w:val="0"/>
              <w:adjustRightInd/>
              <w:snapToGrid/>
              <w:spacing w:before="0" w:beforeLines="0" w:after="0" w:afterLines="0" w:line="360" w:lineRule="auto"/>
              <w:textAlignment w:val="auto"/>
            </w:pPr>
            <w:r>
              <w:rPr>
                <w:rFonts w:hint="eastAsia"/>
                <w:lang w:val="en-US" w:eastAsia="zh-CN"/>
              </w:rPr>
              <w:t xml:space="preserve">2.1.6 </w:t>
            </w:r>
            <w:r>
              <w:t>项目占地</w:t>
            </w:r>
          </w:p>
          <w:p>
            <w:pPr>
              <w:pStyle w:val="29"/>
              <w:spacing w:before="0" w:beforeLines="0"/>
              <w:ind w:firstLine="480"/>
            </w:pPr>
            <w:r>
              <w:t>项目永久占地</w:t>
            </w:r>
            <w:r>
              <w:rPr>
                <w:rFonts w:hint="eastAsia"/>
                <w:lang w:eastAsia="zh-CN"/>
              </w:rPr>
              <w:t>原作为</w:t>
            </w:r>
            <w:r>
              <w:rPr>
                <w:rFonts w:hint="eastAsia"/>
                <w:lang w:val="en-US" w:eastAsia="zh-CN"/>
              </w:rPr>
              <w:t>G209国道修建配备的临时堆场，现用地手续已到期，主要主要污染为占地，无其他环境影响，剩余一般固体废物（主要为砂石料）将由凤凰县人民政府负责处理运输，占地范围内无动植物存在</w:t>
            </w:r>
            <w:r>
              <w:t>，根据工程内容，</w:t>
            </w:r>
            <w:r>
              <w:rPr>
                <w:rFonts w:hint="eastAsia"/>
                <w:lang w:eastAsia="zh-CN"/>
              </w:rPr>
              <w:t>凤凰县高峰垃圾转运站拟用地面积</w:t>
            </w:r>
            <w:r>
              <w:rPr>
                <w:rFonts w:hint="eastAsia"/>
                <w:lang w:val="en-US" w:eastAsia="zh-CN"/>
              </w:rPr>
              <w:t>0.6323公顷，拟建垃圾转运站一座，总建筑面积4312.95平方米</w:t>
            </w:r>
            <w:r>
              <w:t>。项目未占用居民住宅基地，不涉及基本农田，不涉及拆迁。</w:t>
            </w:r>
            <w:r>
              <w:rPr>
                <w:rFonts w:hint="eastAsia"/>
              </w:rPr>
              <w:t>项目已取得建设项目用地预审与选址意见书</w:t>
            </w:r>
            <w:r>
              <w:rPr>
                <w:rFonts w:hint="eastAsia"/>
                <w:lang w:eastAsia="zh-CN"/>
              </w:rPr>
              <w:t>（用字第</w:t>
            </w:r>
            <w:r>
              <w:rPr>
                <w:rFonts w:hint="eastAsia"/>
                <w:lang w:val="en-US" w:eastAsia="zh-CN"/>
              </w:rPr>
              <w:t>433123202100014</w:t>
            </w:r>
            <w:r>
              <w:rPr>
                <w:rFonts w:hint="eastAsia"/>
                <w:lang w:eastAsia="zh-CN"/>
              </w:rPr>
              <w:t>）</w:t>
            </w:r>
            <w:r>
              <w:rPr>
                <w:rFonts w:hint="eastAsia"/>
              </w:rPr>
              <w:t>，具体见附件</w:t>
            </w:r>
            <w:r>
              <w:rPr>
                <w:rFonts w:hint="eastAsia"/>
                <w:lang w:val="en-US" w:eastAsia="zh-CN"/>
              </w:rPr>
              <w:t>4</w:t>
            </w:r>
            <w:r>
              <w:rPr>
                <w:rFonts w:hint="eastAsia"/>
              </w:rPr>
              <w:t>。</w:t>
            </w:r>
            <w:r>
              <w:t>项目征地补偿标准按照《湖南省征地补偿标准》（湘政发[2012]46号）的规定执行。项目临时占地主要为施工现场</w:t>
            </w:r>
            <w:r>
              <w:rPr>
                <w:rFonts w:hint="eastAsia"/>
                <w:lang w:eastAsia="zh-CN"/>
              </w:rPr>
              <w:t>临时旱厕</w:t>
            </w:r>
            <w:r>
              <w:rPr>
                <w:rFonts w:hint="eastAsia"/>
              </w:rPr>
              <w:t>、</w:t>
            </w:r>
            <w:r>
              <w:rPr>
                <w:rFonts w:hint="eastAsia"/>
                <w:lang w:eastAsia="zh-CN"/>
              </w:rPr>
              <w:t>土石方</w:t>
            </w:r>
            <w:r>
              <w:t>临时占地</w:t>
            </w:r>
            <w:r>
              <w:rPr>
                <w:rFonts w:hint="eastAsia"/>
                <w:lang w:eastAsia="zh-CN"/>
              </w:rPr>
              <w:t>、排水沟沉沙池、施工营地</w:t>
            </w:r>
            <w:r>
              <w:t>。项目设置施工营地主要为施工材料的堆放，施工人员不在项目施工营地食宿。</w:t>
            </w:r>
          </w:p>
          <w:p>
            <w:pPr>
              <w:pStyle w:val="9"/>
              <w:keepNext w:val="0"/>
              <w:keepLines w:val="0"/>
              <w:pageBreakBefore w:val="0"/>
              <w:widowControl w:val="0"/>
              <w:kinsoku/>
              <w:wordWrap w:val="0"/>
              <w:overflowPunct/>
              <w:topLinePunct w:val="0"/>
              <w:autoSpaceDE w:val="0"/>
              <w:autoSpaceDN w:val="0"/>
              <w:bidi w:val="0"/>
              <w:adjustRightInd/>
              <w:snapToGrid/>
              <w:spacing w:before="0" w:beforeLines="0" w:after="0" w:afterLines="0" w:line="360" w:lineRule="auto"/>
              <w:textAlignment w:val="auto"/>
              <w:rPr>
                <w:u w:val="single"/>
              </w:rPr>
            </w:pPr>
            <w:r>
              <w:rPr>
                <w:rFonts w:hint="eastAsia"/>
                <w:u w:val="single"/>
                <w:lang w:val="en-US" w:eastAsia="zh-CN"/>
              </w:rPr>
              <w:t xml:space="preserve">2.1.7 </w:t>
            </w:r>
            <w:r>
              <w:rPr>
                <w:u w:val="single"/>
              </w:rPr>
              <w:t>项目土石方平衡</w:t>
            </w:r>
          </w:p>
          <w:p>
            <w:pPr>
              <w:pStyle w:val="8"/>
              <w:tabs>
                <w:tab w:val="left" w:pos="630"/>
              </w:tabs>
              <w:rPr>
                <w:sz w:val="24"/>
                <w:szCs w:val="24"/>
                <w:u w:val="single"/>
              </w:rPr>
            </w:pPr>
            <w:r>
              <w:rPr>
                <w:sz w:val="24"/>
                <w:szCs w:val="24"/>
                <w:u w:val="single"/>
              </w:rPr>
              <w:t>根据项目设计资料，</w:t>
            </w:r>
            <w:r>
              <w:rPr>
                <w:rFonts w:hint="eastAsia"/>
                <w:sz w:val="24"/>
                <w:szCs w:val="24"/>
                <w:u w:val="single"/>
                <w:lang w:eastAsia="zh-CN"/>
              </w:rPr>
              <w:t>项目预计剥离表土</w:t>
            </w:r>
            <w:r>
              <w:rPr>
                <w:rFonts w:hint="eastAsia"/>
                <w:sz w:val="24"/>
                <w:szCs w:val="24"/>
                <w:u w:val="single"/>
                <w:lang w:val="en-US" w:eastAsia="zh-CN"/>
              </w:rPr>
              <w:t>9500方，开挖石方13000方，</w:t>
            </w:r>
            <w:r>
              <w:rPr>
                <w:sz w:val="24"/>
                <w:szCs w:val="24"/>
                <w:u w:val="single"/>
              </w:rPr>
              <w:t>表土暂时堆存于征地范围内设置的临时表土堆存区，作为后期场内道路绿化的表土回填，石方</w:t>
            </w:r>
            <w:r>
              <w:rPr>
                <w:rFonts w:hint="eastAsia"/>
                <w:sz w:val="24"/>
                <w:szCs w:val="24"/>
                <w:u w:val="single"/>
                <w:lang w:eastAsia="zh-CN"/>
              </w:rPr>
              <w:t>回填</w:t>
            </w:r>
            <w:r>
              <w:rPr>
                <w:rFonts w:hint="eastAsia"/>
                <w:sz w:val="24"/>
                <w:szCs w:val="24"/>
                <w:u w:val="single"/>
                <w:lang w:val="en-US" w:eastAsia="zh-CN"/>
              </w:rPr>
              <w:t>约3000方</w:t>
            </w:r>
            <w:r>
              <w:rPr>
                <w:sz w:val="24"/>
                <w:szCs w:val="24"/>
                <w:u w:val="single"/>
              </w:rPr>
              <w:t>，</w:t>
            </w:r>
            <w:r>
              <w:rPr>
                <w:rFonts w:hint="eastAsia"/>
                <w:sz w:val="24"/>
                <w:szCs w:val="24"/>
                <w:u w:val="single"/>
                <w:lang w:eastAsia="zh-CN"/>
              </w:rPr>
              <w:t>剩余</w:t>
            </w:r>
            <w:r>
              <w:rPr>
                <w:rFonts w:hint="eastAsia"/>
                <w:sz w:val="24"/>
                <w:szCs w:val="24"/>
                <w:u w:val="single"/>
                <w:lang w:val="en-US" w:eastAsia="zh-CN"/>
              </w:rPr>
              <w:t>10000</w:t>
            </w:r>
            <w:r>
              <w:rPr>
                <w:sz w:val="24"/>
                <w:szCs w:val="24"/>
                <w:u w:val="single"/>
              </w:rPr>
              <w:t>方交由渣土管理部门处理。</w:t>
            </w:r>
          </w:p>
          <w:p>
            <w:pPr>
              <w:pStyle w:val="8"/>
              <w:tabs>
                <w:tab w:val="left" w:pos="630"/>
              </w:tabs>
              <w:ind w:left="0" w:leftChars="0" w:firstLine="0" w:firstLineChars="0"/>
              <w:rPr>
                <w:u w:val="single"/>
              </w:rPr>
            </w:pPr>
            <w:r>
              <w:rPr>
                <w:rStyle w:val="40"/>
                <w:rFonts w:hint="eastAsia"/>
                <w:u w:val="single"/>
                <w:lang w:val="en-US" w:eastAsia="zh-CN"/>
              </w:rPr>
              <w:t xml:space="preserve">2.1.8 </w:t>
            </w:r>
            <w:r>
              <w:rPr>
                <w:rStyle w:val="40"/>
                <w:rFonts w:hint="eastAsia"/>
                <w:u w:val="single"/>
              </w:rPr>
              <w:t>项目四至情况</w:t>
            </w:r>
          </w:p>
          <w:p>
            <w:pPr>
              <w:spacing w:line="360" w:lineRule="auto"/>
              <w:ind w:firstLine="480" w:firstLineChars="200"/>
              <w:jc w:val="both"/>
              <w:rPr>
                <w:u w:val="single"/>
              </w:rPr>
            </w:pPr>
            <w:r>
              <w:rPr>
                <w:rFonts w:hint="eastAsia"/>
                <w:u w:val="single"/>
              </w:rPr>
              <w:t>本项目建设地点位于湖南省湘西土家族苗族自治州</w:t>
            </w:r>
            <w:r>
              <w:rPr>
                <w:rFonts w:hint="eastAsia"/>
                <w:u w:val="single"/>
                <w:lang w:eastAsia="zh-CN"/>
              </w:rPr>
              <w:t>凤凰</w:t>
            </w:r>
            <w:r>
              <w:rPr>
                <w:rFonts w:hint="eastAsia"/>
                <w:u w:val="single"/>
              </w:rPr>
              <w:t>县</w:t>
            </w:r>
            <w:r>
              <w:rPr>
                <w:rFonts w:hint="eastAsia"/>
                <w:u w:val="single"/>
                <w:lang w:eastAsia="zh-CN"/>
              </w:rPr>
              <w:t>沱江</w:t>
            </w:r>
            <w:r>
              <w:rPr>
                <w:rFonts w:hint="eastAsia"/>
                <w:u w:val="single"/>
              </w:rPr>
              <w:t>镇</w:t>
            </w:r>
            <w:r>
              <w:rPr>
                <w:rFonts w:hint="eastAsia"/>
                <w:u w:val="single"/>
                <w:lang w:eastAsia="zh-CN"/>
              </w:rPr>
              <w:t>高峰村</w:t>
            </w:r>
            <w:r>
              <w:rPr>
                <w:rFonts w:hint="eastAsia"/>
                <w:u w:val="single"/>
              </w:rPr>
              <w:t>，占地类型为</w:t>
            </w:r>
            <w:r>
              <w:rPr>
                <w:rFonts w:hint="eastAsia"/>
                <w:u w:val="single"/>
                <w:lang w:eastAsia="zh-CN"/>
              </w:rPr>
              <w:t>荒地</w:t>
            </w:r>
            <w:r>
              <w:rPr>
                <w:rFonts w:hint="eastAsia"/>
                <w:u w:val="single"/>
              </w:rPr>
              <w:t>，不占用生态公益林。项目四至情况见下表。</w:t>
            </w:r>
          </w:p>
          <w:p>
            <w:pPr>
              <w:pStyle w:val="27"/>
              <w:rPr>
                <w:u w:val="single"/>
              </w:rPr>
            </w:pPr>
            <w:r>
              <w:rPr>
                <w:rFonts w:hint="eastAsia"/>
                <w:u w:val="single"/>
                <w:lang w:val="en-US" w:eastAsia="zh-CN"/>
              </w:rPr>
              <w:t>2-6</w:t>
            </w:r>
            <w:r>
              <w:rPr>
                <w:u w:val="single"/>
              </w:rPr>
              <w:t xml:space="preserve"> </w:t>
            </w:r>
            <w:r>
              <w:rPr>
                <w:rFonts w:hint="eastAsia"/>
                <w:u w:val="single"/>
              </w:rPr>
              <w:t>项目四至情况表</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6"/>
              <w:gridCol w:w="5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86" w:type="pct"/>
                  <w:shd w:val="clear" w:color="auto" w:fill="auto"/>
                  <w:noWrap w:val="0"/>
                  <w:vAlign w:val="center"/>
                </w:tcPr>
                <w:p>
                  <w:pPr>
                    <w:pStyle w:val="2"/>
                    <w:jc w:val="center"/>
                    <w:rPr>
                      <w:sz w:val="21"/>
                      <w:szCs w:val="21"/>
                      <w:u w:val="single"/>
                    </w:rPr>
                  </w:pPr>
                  <w:r>
                    <w:rPr>
                      <w:rFonts w:hint="eastAsia"/>
                      <w:sz w:val="21"/>
                      <w:szCs w:val="21"/>
                      <w:u w:val="single"/>
                    </w:rPr>
                    <w:t>垃圾转运站名称</w:t>
                  </w:r>
                </w:p>
              </w:tc>
              <w:tc>
                <w:tcPr>
                  <w:tcW w:w="3313" w:type="pct"/>
                  <w:shd w:val="clear" w:color="auto" w:fill="auto"/>
                  <w:noWrap w:val="0"/>
                  <w:vAlign w:val="center"/>
                </w:tcPr>
                <w:p>
                  <w:pPr>
                    <w:pStyle w:val="2"/>
                    <w:jc w:val="center"/>
                    <w:rPr>
                      <w:rFonts w:hint="eastAsia"/>
                      <w:sz w:val="21"/>
                      <w:szCs w:val="21"/>
                      <w:u w:val="single"/>
                    </w:rPr>
                  </w:pPr>
                  <w:r>
                    <w:rPr>
                      <w:rFonts w:hint="eastAsia"/>
                      <w:sz w:val="21"/>
                      <w:szCs w:val="21"/>
                      <w:u w:val="single"/>
                    </w:rPr>
                    <w:t>四至情况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pct"/>
                  <w:shd w:val="clear" w:color="auto" w:fill="auto"/>
                  <w:noWrap w:val="0"/>
                  <w:vAlign w:val="center"/>
                </w:tcPr>
                <w:p>
                  <w:pPr>
                    <w:adjustRightInd w:val="0"/>
                    <w:snapToGrid w:val="0"/>
                    <w:jc w:val="center"/>
                    <w:rPr>
                      <w:sz w:val="21"/>
                      <w:szCs w:val="21"/>
                      <w:u w:val="single"/>
                    </w:rPr>
                  </w:pPr>
                  <w:r>
                    <w:rPr>
                      <w:rFonts w:hint="eastAsia"/>
                      <w:sz w:val="21"/>
                      <w:szCs w:val="21"/>
                      <w:u w:val="single"/>
                      <w:lang w:eastAsia="zh-CN"/>
                    </w:rPr>
                    <w:t>凤凰县沱江镇高峰</w:t>
                  </w:r>
                  <w:r>
                    <w:rPr>
                      <w:rFonts w:hint="eastAsia"/>
                      <w:sz w:val="21"/>
                      <w:szCs w:val="21"/>
                      <w:u w:val="single"/>
                    </w:rPr>
                    <w:t>垃圾转运站</w:t>
                  </w:r>
                </w:p>
              </w:tc>
              <w:tc>
                <w:tcPr>
                  <w:tcW w:w="3313" w:type="pct"/>
                  <w:shd w:val="clear" w:color="auto" w:fill="auto"/>
                  <w:noWrap w:val="0"/>
                  <w:vAlign w:val="center"/>
                </w:tcPr>
                <w:p>
                  <w:pPr>
                    <w:pStyle w:val="47"/>
                    <w:snapToGrid/>
                    <w:rPr>
                      <w:rFonts w:hint="eastAsia"/>
                      <w:sz w:val="21"/>
                      <w:szCs w:val="21"/>
                      <w:u w:val="single"/>
                    </w:rPr>
                  </w:pPr>
                  <w:r>
                    <w:rPr>
                      <w:rFonts w:hint="eastAsia"/>
                      <w:sz w:val="21"/>
                      <w:szCs w:val="21"/>
                      <w:u w:val="single"/>
                      <w:lang w:eastAsia="zh-CN"/>
                    </w:rPr>
                    <w:t>东</w:t>
                  </w:r>
                  <w:r>
                    <w:rPr>
                      <w:rFonts w:hint="eastAsia"/>
                      <w:sz w:val="21"/>
                      <w:szCs w:val="21"/>
                      <w:u w:val="single"/>
                    </w:rPr>
                    <w:t>侧、西侧、北侧紧邻林地，</w:t>
                  </w:r>
                  <w:r>
                    <w:rPr>
                      <w:rFonts w:hint="eastAsia"/>
                      <w:sz w:val="21"/>
                      <w:szCs w:val="21"/>
                      <w:u w:val="single"/>
                      <w:lang w:eastAsia="zh-CN"/>
                    </w:rPr>
                    <w:t>南</w:t>
                  </w:r>
                  <w:r>
                    <w:rPr>
                      <w:rFonts w:hint="eastAsia"/>
                      <w:sz w:val="21"/>
                      <w:szCs w:val="21"/>
                      <w:u w:val="single"/>
                    </w:rPr>
                    <w:t>侧</w:t>
                  </w:r>
                  <w:r>
                    <w:rPr>
                      <w:rFonts w:hint="eastAsia"/>
                      <w:sz w:val="21"/>
                      <w:szCs w:val="21"/>
                      <w:u w:val="single"/>
                      <w:lang w:val="en-US" w:eastAsia="zh-CN"/>
                    </w:rPr>
                    <w:t>25</w:t>
                  </w:r>
                  <w:r>
                    <w:rPr>
                      <w:sz w:val="21"/>
                      <w:szCs w:val="21"/>
                      <w:u w:val="single"/>
                    </w:rPr>
                    <w:t>m</w:t>
                  </w:r>
                  <w:r>
                    <w:rPr>
                      <w:rFonts w:hint="eastAsia"/>
                      <w:sz w:val="21"/>
                      <w:szCs w:val="21"/>
                      <w:u w:val="single"/>
                    </w:rPr>
                    <w:t>为</w:t>
                  </w:r>
                  <w:r>
                    <w:rPr>
                      <w:rFonts w:hint="eastAsia"/>
                      <w:sz w:val="21"/>
                      <w:szCs w:val="21"/>
                      <w:u w:val="single"/>
                      <w:lang w:val="en-US" w:eastAsia="zh-CN"/>
                    </w:rPr>
                    <w:t>G209</w:t>
                  </w:r>
                  <w:r>
                    <w:rPr>
                      <w:rFonts w:hint="eastAsia"/>
                      <w:sz w:val="21"/>
                      <w:szCs w:val="21"/>
                      <w:u w:val="single"/>
                    </w:rPr>
                    <w:t>，</w:t>
                  </w:r>
                  <w:r>
                    <w:rPr>
                      <w:rFonts w:hint="eastAsia"/>
                      <w:sz w:val="21"/>
                      <w:szCs w:val="21"/>
                      <w:u w:val="single"/>
                      <w:lang w:eastAsia="zh-CN"/>
                    </w:rPr>
                    <w:t>南</w:t>
                  </w:r>
                  <w:r>
                    <w:rPr>
                      <w:rFonts w:hint="eastAsia"/>
                      <w:sz w:val="21"/>
                      <w:szCs w:val="21"/>
                      <w:u w:val="single"/>
                    </w:rPr>
                    <w:t>侧</w:t>
                  </w:r>
                  <w:r>
                    <w:rPr>
                      <w:rFonts w:hint="eastAsia"/>
                      <w:sz w:val="21"/>
                      <w:szCs w:val="21"/>
                      <w:u w:val="single"/>
                      <w:lang w:val="en-US" w:eastAsia="zh-CN"/>
                    </w:rPr>
                    <w:t>60</w:t>
                  </w:r>
                  <w:r>
                    <w:rPr>
                      <w:sz w:val="21"/>
                      <w:szCs w:val="21"/>
                      <w:u w:val="single"/>
                    </w:rPr>
                    <w:t>m</w:t>
                  </w:r>
                  <w:r>
                    <w:rPr>
                      <w:rFonts w:hint="eastAsia"/>
                      <w:sz w:val="21"/>
                      <w:szCs w:val="21"/>
                      <w:u w:val="single"/>
                    </w:rPr>
                    <w:t>为</w:t>
                  </w:r>
                  <w:r>
                    <w:rPr>
                      <w:rFonts w:hint="eastAsia"/>
                      <w:sz w:val="21"/>
                      <w:szCs w:val="21"/>
                      <w:u w:val="single"/>
                      <w:lang w:eastAsia="zh-CN"/>
                    </w:rPr>
                    <w:t>无名小溪</w:t>
                  </w:r>
                  <w:r>
                    <w:rPr>
                      <w:rFonts w:hint="eastAsia"/>
                      <w:sz w:val="21"/>
                      <w:szCs w:val="21"/>
                      <w:u w:val="single"/>
                    </w:rPr>
                    <w:t>，</w:t>
                  </w:r>
                  <w:r>
                    <w:rPr>
                      <w:rFonts w:hint="eastAsia"/>
                      <w:sz w:val="21"/>
                      <w:szCs w:val="21"/>
                      <w:u w:val="single"/>
                      <w:lang w:eastAsia="zh-CN"/>
                    </w:rPr>
                    <w:t>凤凰县垃圾填埋场位于本项目西北侧</w:t>
                  </w:r>
                  <w:r>
                    <w:rPr>
                      <w:rFonts w:hint="eastAsia"/>
                      <w:sz w:val="21"/>
                      <w:szCs w:val="21"/>
                      <w:u w:val="single"/>
                      <w:lang w:val="en-US" w:eastAsia="zh-CN"/>
                    </w:rPr>
                    <w:t>520米的山顶上，</w:t>
                  </w:r>
                  <w:r>
                    <w:rPr>
                      <w:rFonts w:hint="eastAsia"/>
                      <w:sz w:val="21"/>
                      <w:szCs w:val="21"/>
                      <w:u w:val="single"/>
                    </w:rPr>
                    <w:t>100米范围内无其他建筑</w:t>
                  </w:r>
                </w:p>
              </w:tc>
            </w:tr>
          </w:tbl>
          <w:p>
            <w:pPr>
              <w:pStyle w:val="9"/>
              <w:keepNext w:val="0"/>
              <w:keepLines w:val="0"/>
              <w:pageBreakBefore w:val="0"/>
              <w:widowControl w:val="0"/>
              <w:kinsoku/>
              <w:wordWrap w:val="0"/>
              <w:overflowPunct/>
              <w:topLinePunct w:val="0"/>
              <w:autoSpaceDE w:val="0"/>
              <w:autoSpaceDN w:val="0"/>
              <w:bidi w:val="0"/>
              <w:adjustRightInd/>
              <w:snapToGrid/>
              <w:spacing w:before="0" w:beforeLines="0" w:after="0" w:afterLines="0" w:line="360" w:lineRule="auto"/>
              <w:textAlignment w:val="auto"/>
              <w:rPr>
                <w:rFonts w:hint="eastAsia"/>
                <w:lang w:val="en-US" w:eastAsia="zh-CN"/>
              </w:rPr>
            </w:pPr>
            <w:r>
              <w:rPr>
                <w:rFonts w:hint="eastAsia"/>
                <w:lang w:val="en-US" w:eastAsia="zh-CN"/>
              </w:rPr>
              <w:t>2.1.9 项目平面布置情况</w:t>
            </w:r>
          </w:p>
          <w:p>
            <w:pPr>
              <w:pStyle w:val="12"/>
              <w:rPr>
                <w:rFonts w:hint="eastAsia"/>
                <w:sz w:val="28"/>
                <w:szCs w:val="28"/>
                <w:lang w:val="en-US" w:eastAsia="zh-CN"/>
              </w:rPr>
            </w:pPr>
            <w:r>
              <w:rPr>
                <w:rFonts w:hint="eastAsia"/>
                <w:sz w:val="24"/>
                <w:szCs w:val="24"/>
                <w:lang w:val="en-US" w:eastAsia="zh-CN"/>
              </w:rPr>
              <w:t>凤凰县沱江镇高峰垃圾转运站四周设置围墙，设置1个出入口，位于厂区南侧，与现有G209相邻，交通运输便利，远离周边主要环境保护目标，建筑主要分布于厂区西北侧，由北至南，依次为卸料大厅、压装车间（压装车间东侧有一自动洗车间）、转运坪、维修车间及停车位、办公楼。</w:t>
            </w:r>
          </w:p>
          <w:p>
            <w:pPr>
              <w:pStyle w:val="12"/>
              <w:ind w:left="0" w:leftChars="0" w:firstLine="0" w:firstLineChars="0"/>
              <w:jc w:val="both"/>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drawing>
                <wp:inline distT="0" distB="0" distL="114300" distR="114300">
                  <wp:extent cx="4693285" cy="3890010"/>
                  <wp:effectExtent l="0" t="0" r="12065" b="15240"/>
                  <wp:docPr id="2" name="图片 2" descr="高峰大站方案PDF(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高峰大站方案PDF(1)_01"/>
                          <pic:cNvPicPr>
                            <a:picLocks noChangeAspect="1"/>
                          </pic:cNvPicPr>
                        </pic:nvPicPr>
                        <pic:blipFill>
                          <a:blip r:embed="rId22"/>
                          <a:srcRect l="19292" t="5598" r="13771" b="15865"/>
                          <a:stretch>
                            <a:fillRect/>
                          </a:stretch>
                        </pic:blipFill>
                        <pic:spPr>
                          <a:xfrm>
                            <a:off x="0" y="0"/>
                            <a:ext cx="4693285" cy="3890010"/>
                          </a:xfrm>
                          <a:prstGeom prst="rect">
                            <a:avLst/>
                          </a:prstGeom>
                        </pic:spPr>
                      </pic:pic>
                    </a:graphicData>
                  </a:graphic>
                </wp:inline>
              </w:drawing>
            </w:r>
          </w:p>
          <w:p>
            <w:pPr>
              <w:pStyle w:val="39"/>
              <w:bidi w:val="0"/>
              <w:rPr>
                <w:rFonts w:hint="default"/>
                <w:szCs w:val="28"/>
                <w:lang w:val="en-US" w:eastAsia="zh-CN"/>
              </w:rPr>
            </w:pPr>
            <w:r>
              <w:rPr>
                <w:rFonts w:hint="eastAsia"/>
                <w:lang w:val="en-US" w:eastAsia="zh-CN"/>
              </w:rPr>
              <w:t>图2-3 项目平面布置图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6" w:hRule="atLeast"/>
          <w:jc w:val="center"/>
        </w:trPr>
        <w:tc>
          <w:tcPr>
            <w:tcW w:w="273" w:type="pct"/>
            <w:tcBorders>
              <w:top w:val="single" w:color="000000" w:sz="4" w:space="0"/>
              <w:bottom w:val="single" w:color="000000" w:sz="4" w:space="0"/>
              <w:right w:val="single" w:color="000000" w:sz="4" w:space="0"/>
            </w:tcBorders>
            <w:vAlign w:val="center"/>
          </w:tcPr>
          <w:p>
            <w:pPr>
              <w:pStyle w:val="38"/>
              <w:jc w:val="center"/>
              <w:rPr>
                <w:b/>
                <w:bCs/>
                <w:sz w:val="32"/>
                <w:szCs w:val="32"/>
              </w:rPr>
            </w:pPr>
            <w:r>
              <w:rPr>
                <w:b/>
                <w:bCs/>
                <w:sz w:val="32"/>
                <w:szCs w:val="32"/>
              </w:rPr>
              <w:t>工艺流程和产排污环节</w:t>
            </w:r>
          </w:p>
        </w:tc>
        <w:tc>
          <w:tcPr>
            <w:tcW w:w="4726" w:type="pct"/>
            <w:tcBorders>
              <w:top w:val="single" w:color="000000" w:sz="4" w:space="0"/>
              <w:left w:val="single" w:color="000000" w:sz="4" w:space="0"/>
              <w:bottom w:val="single" w:color="000000" w:sz="4" w:space="0"/>
            </w:tcBorders>
          </w:tcPr>
          <w:p>
            <w:pPr>
              <w:pStyle w:val="8"/>
              <w:bidi w:val="0"/>
              <w:ind w:left="0" w:leftChars="0" w:firstLine="0" w:firstLineChars="0"/>
              <w:jc w:val="left"/>
              <w:rPr>
                <w:rFonts w:hint="eastAsia" w:ascii="Times New Roman" w:hAnsi="Times New Roman"/>
                <w:b/>
                <w:bCs/>
                <w:sz w:val="32"/>
                <w:szCs w:val="32"/>
                <w:lang w:val="en-US"/>
              </w:rPr>
            </w:pPr>
            <w:r>
              <w:rPr>
                <w:rFonts w:hint="eastAsia"/>
                <w:b/>
                <w:bCs/>
                <w:sz w:val="32"/>
                <w:szCs w:val="32"/>
                <w:lang w:val="en-US" w:eastAsia="zh-CN"/>
              </w:rPr>
              <w:t>2.2</w:t>
            </w:r>
            <w:r>
              <w:rPr>
                <w:rFonts w:hint="eastAsia" w:ascii="Times New Roman" w:hAnsi="Times New Roman"/>
                <w:b/>
                <w:bCs/>
                <w:sz w:val="32"/>
                <w:szCs w:val="32"/>
                <w:lang w:val="en-US"/>
              </w:rPr>
              <w:t>工艺流程简述（图示）</w:t>
            </w:r>
          </w:p>
          <w:p>
            <w:pPr>
              <w:pStyle w:val="38"/>
              <w:jc w:val="left"/>
              <w:rPr>
                <w:rStyle w:val="40"/>
                <w:rFonts w:cs="Times New Roman"/>
              </w:rPr>
            </w:pPr>
            <w:r>
              <w:rPr>
                <w:rStyle w:val="40"/>
                <w:rFonts w:hint="eastAsia" w:cs="Times New Roman"/>
                <w:lang w:val="en-US" w:eastAsia="zh-CN"/>
              </w:rPr>
              <w:t xml:space="preserve">2.2.1 </w:t>
            </w:r>
            <w:r>
              <w:rPr>
                <w:rStyle w:val="40"/>
                <w:rFonts w:cs="Times New Roman"/>
              </w:rPr>
              <w:t>施工期施工工艺及产污环节</w:t>
            </w:r>
          </w:p>
          <w:p>
            <w:pPr>
              <w:pStyle w:val="38"/>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jc w:val="left"/>
              <w:textAlignment w:val="auto"/>
              <w:rPr>
                <w:rFonts w:ascii="Times New Roman" w:hAnsi="Times New Roman" w:eastAsia="宋体" w:cs="宋体"/>
                <w:sz w:val="24"/>
                <w:szCs w:val="24"/>
                <w:lang w:val="zh-CN" w:eastAsia="zh-CN" w:bidi="zh-CN"/>
              </w:rPr>
            </w:pPr>
            <w:r>
              <w:rPr>
                <w:rFonts w:hint="eastAsia" w:ascii="Times New Roman" w:hAnsi="Times New Roman" w:eastAsia="宋体" w:cs="宋体"/>
                <w:sz w:val="24"/>
                <w:szCs w:val="24"/>
                <w:lang w:val="zh-CN" w:eastAsia="zh-CN" w:bidi="zh-CN"/>
              </w:rPr>
              <w:t>施工期主要工艺过程及产污环节见图</w:t>
            </w:r>
          </w:p>
          <w:p>
            <w:pPr>
              <w:pStyle w:val="39"/>
            </w:pPr>
            <w:r>
              <w:drawing>
                <wp:inline distT="0" distB="0" distL="114300" distR="114300">
                  <wp:extent cx="5026025" cy="1311910"/>
                  <wp:effectExtent l="0" t="0" r="0" b="0"/>
                  <wp:docPr id="6"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B019B1-382A-4266-B25C-5B523AA43C14-2" descr="wps"/>
                          <pic:cNvPicPr>
                            <a:picLocks noChangeAspect="1"/>
                          </pic:cNvPicPr>
                        </pic:nvPicPr>
                        <pic:blipFill>
                          <a:blip r:embed="rId23"/>
                          <a:stretch>
                            <a:fillRect/>
                          </a:stretch>
                        </pic:blipFill>
                        <pic:spPr>
                          <a:xfrm>
                            <a:off x="0" y="0"/>
                            <a:ext cx="5026025" cy="1311910"/>
                          </a:xfrm>
                          <a:prstGeom prst="rect">
                            <a:avLst/>
                          </a:prstGeom>
                        </pic:spPr>
                      </pic:pic>
                    </a:graphicData>
                  </a:graphic>
                </wp:inline>
              </w:drawing>
            </w:r>
            <w:r>
              <w:t>图</w:t>
            </w:r>
            <w:r>
              <w:rPr>
                <w:rFonts w:hint="eastAsia"/>
                <w:lang w:val="en-US"/>
              </w:rPr>
              <w:t xml:space="preserve">2-2   </w:t>
            </w:r>
            <w:r>
              <w:t>施工期工艺流程和产污环节图</w:t>
            </w:r>
          </w:p>
          <w:p>
            <w:pPr>
              <w:rPr>
                <w:rFonts w:hint="eastAsia" w:eastAsia="宋体"/>
                <w:lang w:eastAsia="zh-CN"/>
              </w:rPr>
            </w:pPr>
            <w:r>
              <w:rPr>
                <w:rFonts w:ascii="Times New Roman" w:hAnsi="Times New Roman"/>
                <w:sz w:val="24"/>
                <w:szCs w:val="24"/>
              </w:rPr>
              <w:t>本项目建设在施工期内存在的主要环境问题为</w:t>
            </w:r>
            <w:r>
              <w:rPr>
                <w:rFonts w:hint="eastAsia" w:ascii="Times New Roman" w:hAnsi="Times New Roman"/>
                <w:sz w:val="24"/>
                <w:szCs w:val="24"/>
                <w:lang w:eastAsia="zh-CN"/>
              </w:rPr>
              <w:t>：</w:t>
            </w:r>
            <w:r>
              <w:rPr>
                <w:rFonts w:ascii="Times New Roman" w:hAnsi="Times New Roman"/>
                <w:sz w:val="24"/>
                <w:szCs w:val="24"/>
              </w:rPr>
              <w:t>土石方挖掘、平整土地、基坑开挖、建筑材料的运输及施工作业等</w:t>
            </w:r>
            <w:r>
              <w:rPr>
                <w:rFonts w:hint="eastAsia" w:ascii="Times New Roman" w:hAnsi="Times New Roman"/>
                <w:sz w:val="24"/>
                <w:szCs w:val="24"/>
              </w:rPr>
              <w:t>，</w:t>
            </w:r>
            <w:r>
              <w:rPr>
                <w:rFonts w:ascii="Times New Roman" w:hAnsi="Times New Roman"/>
                <w:sz w:val="24"/>
                <w:szCs w:val="24"/>
              </w:rPr>
              <w:t>将产生扬尘、废水、施工噪声及建筑垃圾等，施工人员产生的生活污水以及生活垃圾。</w:t>
            </w:r>
          </w:p>
          <w:p>
            <w:pPr>
              <w:pStyle w:val="9"/>
              <w:spacing w:before="192" w:after="192"/>
              <w:rPr>
                <w:rFonts w:cs="Times New Roman"/>
              </w:rPr>
            </w:pPr>
            <w:r>
              <w:rPr>
                <w:rFonts w:hint="eastAsia" w:cs="Times New Roman"/>
                <w:lang w:val="en-US" w:eastAsia="zh-CN"/>
              </w:rPr>
              <w:t xml:space="preserve">2.2.2 </w:t>
            </w:r>
            <w:r>
              <w:rPr>
                <w:rFonts w:cs="Times New Roman"/>
              </w:rPr>
              <w:t>运营期生产工艺流程及主要产污环节</w:t>
            </w:r>
          </w:p>
          <w:p>
            <w:pPr>
              <w:spacing w:line="360" w:lineRule="auto"/>
              <w:ind w:firstLine="480" w:firstLineChars="200"/>
              <w:rPr>
                <w:rFonts w:ascii="Times New Roman" w:hAnsi="Times New Roman"/>
                <w:sz w:val="24"/>
              </w:rPr>
            </w:pPr>
            <w:r>
              <w:rPr>
                <w:rFonts w:hint="eastAsia" w:ascii="Times New Roman" w:hAnsi="Times New Roman"/>
                <w:sz w:val="24"/>
              </w:rPr>
              <w:t>垃圾转运站</w:t>
            </w:r>
            <w:r>
              <w:rPr>
                <w:rFonts w:ascii="Times New Roman" w:hAnsi="Times New Roman"/>
                <w:sz w:val="24"/>
              </w:rPr>
              <w:t>工艺流程简述如下：</w:t>
            </w:r>
          </w:p>
          <w:p>
            <w:pPr>
              <w:pStyle w:val="38"/>
              <w:rPr>
                <w:lang w:val="en-US"/>
              </w:rPr>
            </w:pPr>
            <w:r>
              <w:rPr>
                <w:rFonts w:ascii="Times New Roman" w:hAnsi="Times New Roman"/>
              </w:rPr>
              <w:drawing>
                <wp:inline distT="0" distB="0" distL="114300" distR="114300">
                  <wp:extent cx="4749165" cy="1122045"/>
                  <wp:effectExtent l="0" t="0" r="13335" b="1905"/>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24"/>
                          <a:stretch>
                            <a:fillRect/>
                          </a:stretch>
                        </pic:blipFill>
                        <pic:spPr>
                          <a:xfrm>
                            <a:off x="0" y="0"/>
                            <a:ext cx="4749165" cy="1122045"/>
                          </a:xfrm>
                          <a:prstGeom prst="rect">
                            <a:avLst/>
                          </a:prstGeom>
                          <a:noFill/>
                          <a:ln>
                            <a:noFill/>
                          </a:ln>
                        </pic:spPr>
                      </pic:pic>
                    </a:graphicData>
                  </a:graphic>
                </wp:inline>
              </w:drawing>
            </w:r>
          </w:p>
          <w:p>
            <w:pPr>
              <w:pStyle w:val="30"/>
              <w:ind w:left="480" w:firstLine="422"/>
              <w:jc w:val="right"/>
              <w:rPr>
                <w:rFonts w:cs="Times New Roman"/>
                <w:b/>
                <w:bCs/>
                <w:kern w:val="2"/>
                <w:sz w:val="21"/>
                <w:szCs w:val="21"/>
                <w:lang w:bidi="ar-SA"/>
              </w:rPr>
            </w:pPr>
          </w:p>
          <w:p>
            <w:pPr>
              <w:pStyle w:val="43"/>
              <w:bidi w:val="0"/>
            </w:pPr>
            <w:r>
              <w:t>图</w:t>
            </w:r>
            <w:r>
              <w:rPr>
                <w:rFonts w:hint="eastAsia"/>
                <w:lang w:val="en-US"/>
              </w:rPr>
              <w:t xml:space="preserve">2-3   </w:t>
            </w:r>
            <w:r>
              <w:t>运营期项目工艺产污环节图</w:t>
            </w:r>
          </w:p>
          <w:p>
            <w:pPr>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工艺流程简述:</w:t>
            </w:r>
          </w:p>
          <w:p>
            <w:pPr>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①垃圾收集、卸料</w:t>
            </w:r>
          </w:p>
          <w:p>
            <w:pPr>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生活垃圾收集后由密闭垃圾车运到站内，经计量后进入垃圾压缩站站房卸料平台，垃圾车将垃圾倾倒入放置在地坑内的垃圾箱压缩仓中。风机抽吸车间废气，使车间形成微负压，风机抽吸的废气经风管进入废气处理系统处理。该过程会有恶臭、粉尘产生。车间门帘除垃圾转运车进出时升起外，其余时间均密闭，同时卸料时风机抽吸确保卸料间形成负压，可有效避免粉尘和恶臭外溢。</w:t>
            </w:r>
          </w:p>
          <w:p>
            <w:pPr>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②垃圾压缩</w:t>
            </w:r>
          </w:p>
          <w:p>
            <w:pPr>
              <w:adjustRightInd w:val="0"/>
              <w:snapToGrid w:val="0"/>
              <w:spacing w:line="360" w:lineRule="auto"/>
              <w:ind w:firstLine="480" w:firstLineChars="200"/>
              <w:jc w:val="both"/>
              <w:rPr>
                <w:rFonts w:hint="eastAsia" w:ascii="Times New Roman" w:hAnsi="Times New Roman"/>
                <w:sz w:val="24"/>
                <w:szCs w:val="24"/>
              </w:rPr>
            </w:pPr>
            <w:r>
              <w:rPr>
                <w:rFonts w:hint="eastAsia" w:ascii="Times New Roman" w:hAnsi="Times New Roman"/>
                <w:sz w:val="24"/>
                <w:szCs w:val="24"/>
              </w:rPr>
              <w:t>将垃圾倾倒入压缩机的上料机构垃圾斗内，然后操作上料机构将垃圾倒入垃圾压缩机的压缩仓内，操作压缩循环按钮对倒入压缩仓内的垃圾进行压缩，重复上述过程直至压满报警，操作上料机构上升按钮至上料斗罩在压缩仓的上方，处于转运状态。压缩过程中除臭系统满负荷运行。该工序将产生设备噪声、渗滤液及恶臭。压缩过程为全封闭，该过程产生的渗滤液经</w:t>
            </w:r>
            <w:r>
              <w:rPr>
                <w:rFonts w:hint="eastAsia"/>
                <w:sz w:val="24"/>
                <w:szCs w:val="24"/>
                <w:lang w:eastAsia="zh-CN"/>
              </w:rPr>
              <w:t>渗滤液真空收集系统</w:t>
            </w:r>
            <w:r>
              <w:rPr>
                <w:rFonts w:hint="eastAsia" w:ascii="Times New Roman" w:hAnsi="Times New Roman"/>
                <w:sz w:val="24"/>
                <w:szCs w:val="24"/>
              </w:rPr>
              <w:t>进入渗滤液收集池暂存，由</w:t>
            </w:r>
            <w:r>
              <w:rPr>
                <w:rFonts w:hint="eastAsia"/>
                <w:sz w:val="24"/>
                <w:szCs w:val="24"/>
                <w:lang w:eastAsia="zh-CN"/>
              </w:rPr>
              <w:t>管道输送至凤凰县垃圾填埋场渗滤液处理系统</w:t>
            </w:r>
            <w:r>
              <w:rPr>
                <w:rFonts w:hint="eastAsia" w:ascii="Times New Roman" w:hAnsi="Times New Roman"/>
                <w:sz w:val="24"/>
                <w:szCs w:val="24"/>
              </w:rPr>
              <w:t>处理。恶臭气体由</w:t>
            </w:r>
            <w:r>
              <w:rPr>
                <w:rFonts w:hint="eastAsia"/>
                <w:sz w:val="24"/>
                <w:szCs w:val="24"/>
                <w:lang w:eastAsia="zh-CN"/>
              </w:rPr>
              <w:t>高效生物吸附塔</w:t>
            </w:r>
            <w:r>
              <w:rPr>
                <w:rFonts w:hint="eastAsia" w:ascii="Times New Roman" w:hAnsi="Times New Roman"/>
                <w:sz w:val="24"/>
                <w:szCs w:val="24"/>
              </w:rPr>
              <w:t>处理。</w:t>
            </w:r>
          </w:p>
          <w:p>
            <w:pPr>
              <w:adjustRightInd w:val="0"/>
              <w:snapToGrid w:val="0"/>
              <w:spacing w:line="360" w:lineRule="auto"/>
              <w:ind w:firstLine="480" w:firstLineChars="200"/>
              <w:rPr>
                <w:rFonts w:hint="eastAsia"/>
                <w:sz w:val="24"/>
                <w:szCs w:val="24"/>
                <w:lang w:eastAsia="zh-CN"/>
              </w:rPr>
            </w:pPr>
            <w:r>
              <w:rPr>
                <w:rFonts w:hint="eastAsia" w:ascii="Times New Roman" w:hAnsi="Times New Roman"/>
                <w:sz w:val="24"/>
                <w:szCs w:val="24"/>
              </w:rPr>
              <w:t>③</w:t>
            </w:r>
            <w:r>
              <w:rPr>
                <w:rFonts w:hint="eastAsia"/>
                <w:sz w:val="24"/>
                <w:szCs w:val="24"/>
                <w:lang w:eastAsia="zh-CN"/>
              </w:rPr>
              <w:t>垃圾装车</w:t>
            </w:r>
          </w:p>
          <w:p>
            <w:pPr>
              <w:bidi w:val="0"/>
              <w:jc w:val="both"/>
              <w:rPr>
                <w:rFonts w:hint="eastAsia"/>
                <w:lang w:eastAsia="zh-CN"/>
              </w:rPr>
            </w:pPr>
            <w:r>
              <w:rPr>
                <w:rFonts w:hint="eastAsia"/>
              </w:rPr>
              <w:t>车厢可卸式垃圾车倒入至压缩机的正前方，使拉臂钩对准与压缩机的吊钩，操作车厢可卸式垃圾车将压缩机拉上车，并锁好压缩机</w:t>
            </w:r>
            <w:r>
              <w:rPr>
                <w:rFonts w:hint="eastAsia"/>
                <w:lang w:eastAsia="zh-CN"/>
              </w:rPr>
              <w:t>。</w:t>
            </w:r>
          </w:p>
          <w:p>
            <w:pPr>
              <w:adjustRightInd w:val="0"/>
              <w:snapToGrid w:val="0"/>
              <w:spacing w:line="360" w:lineRule="auto"/>
              <w:ind w:firstLine="480" w:firstLineChars="200"/>
              <w:jc w:val="both"/>
              <w:rPr>
                <w:rFonts w:hint="eastAsia" w:ascii="Times New Roman" w:hAnsi="Times New Roman"/>
                <w:sz w:val="24"/>
                <w:szCs w:val="24"/>
              </w:rPr>
            </w:pPr>
            <w:r>
              <w:rPr>
                <w:rFonts w:hint="eastAsia"/>
                <w:sz w:val="24"/>
                <w:szCs w:val="24"/>
                <w:lang w:eastAsia="zh-CN"/>
              </w:rPr>
              <w:t>④</w:t>
            </w:r>
            <w:r>
              <w:rPr>
                <w:rFonts w:hint="eastAsia" w:ascii="Times New Roman" w:hAnsi="Times New Roman"/>
                <w:sz w:val="24"/>
                <w:szCs w:val="24"/>
              </w:rPr>
              <w:t>垃圾转运</w:t>
            </w:r>
          </w:p>
          <w:p>
            <w:pPr>
              <w:ind w:firstLine="480"/>
              <w:jc w:val="both"/>
              <w:rPr>
                <w:sz w:val="21"/>
              </w:rPr>
            </w:pPr>
            <w:r>
              <w:rPr>
                <w:rFonts w:hint="eastAsia" w:ascii="Times New Roman" w:hAnsi="Times New Roman"/>
                <w:sz w:val="24"/>
                <w:szCs w:val="24"/>
              </w:rPr>
              <w:t>开动车厢可卸式垃圾车，将装满垃圾的压缩机开出垃圾站</w:t>
            </w:r>
            <w:r>
              <w:rPr>
                <w:rFonts w:hint="eastAsia"/>
                <w:sz w:val="24"/>
                <w:szCs w:val="24"/>
                <w:lang w:eastAsia="zh-CN"/>
              </w:rPr>
              <w:t>，运输至吉首市垃圾焚烧发电厂</w:t>
            </w:r>
            <w:r>
              <w:rPr>
                <w:rFonts w:hint="eastAsia" w:ascii="Times New Roman" w:hAnsi="Times New Roman"/>
                <w:sz w:val="24"/>
                <w:szCs w:val="24"/>
              </w:rPr>
              <w:t>。垃圾转运时须按照既定路线行驶(沿宽敞道路行驶，尽量减少在路况不良道路上行驶距离，避免车辆因路况不良出现故障；另外应尽量避开学校、医院等敏感点，驾驶员不得随意改变垃圾运输路线。该工序主要产生车辆噪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19" w:hRule="atLeast"/>
          <w:jc w:val="center"/>
        </w:trPr>
        <w:tc>
          <w:tcPr>
            <w:tcW w:w="273" w:type="pct"/>
            <w:tcBorders>
              <w:top w:val="single" w:color="000000" w:sz="4" w:space="0"/>
              <w:right w:val="single" w:color="000000" w:sz="4" w:space="0"/>
            </w:tcBorders>
            <w:vAlign w:val="center"/>
          </w:tcPr>
          <w:p>
            <w:pPr>
              <w:pStyle w:val="39"/>
              <w:rPr>
                <w:sz w:val="32"/>
                <w:szCs w:val="32"/>
              </w:rPr>
            </w:pPr>
            <w:r>
              <w:rPr>
                <w:sz w:val="32"/>
                <w:szCs w:val="32"/>
              </w:rPr>
              <w:t>与项目有关的原有环境污染问题</w:t>
            </w:r>
          </w:p>
        </w:tc>
        <w:tc>
          <w:tcPr>
            <w:tcW w:w="4726" w:type="pct"/>
            <w:tcBorders>
              <w:top w:val="single" w:color="000000" w:sz="4" w:space="0"/>
              <w:left w:val="single" w:color="000000" w:sz="4" w:space="0"/>
            </w:tcBorders>
            <w:vAlign w:val="center"/>
          </w:tcPr>
          <w:p>
            <w:pPr>
              <w:spacing w:before="1"/>
              <w:ind w:firstLine="420"/>
              <w:jc w:val="center"/>
              <w:rPr>
                <w:rFonts w:hint="eastAsia" w:eastAsia="宋体"/>
                <w:sz w:val="21"/>
                <w:lang w:eastAsia="zh-CN"/>
              </w:rPr>
            </w:pPr>
            <w:r>
              <w:rPr>
                <w:rFonts w:hint="eastAsia"/>
                <w:lang w:val="en-US" w:eastAsia="zh-CN"/>
              </w:rPr>
              <w:t>本项目为新建项目，无原有环境污染问题。</w:t>
            </w:r>
          </w:p>
        </w:tc>
      </w:tr>
    </w:tbl>
    <w:p>
      <w:pPr>
        <w:ind w:firstLine="420"/>
        <w:rPr>
          <w:sz w:val="21"/>
        </w:rPr>
        <w:sectPr>
          <w:pgSz w:w="11910" w:h="16840"/>
          <w:pgMar w:top="1440" w:right="1800" w:bottom="1440" w:left="1800" w:header="0" w:footer="1043" w:gutter="0"/>
          <w:cols w:space="720" w:num="1"/>
        </w:sectPr>
      </w:pPr>
    </w:p>
    <w:p>
      <w:pPr>
        <w:pStyle w:val="7"/>
      </w:pPr>
      <w:bookmarkStart w:id="16" w:name="_Toc20875"/>
      <w:bookmarkStart w:id="17" w:name="_Toc7236"/>
      <w:r>
        <w:t>三、区域环境质量现状、环境保护目标及评价标准</w:t>
      </w:r>
      <w:bookmarkEnd w:id="16"/>
      <w:bookmarkEnd w:id="17"/>
    </w:p>
    <w:tbl>
      <w:tblPr>
        <w:tblStyle w:val="31"/>
        <w:tblW w:w="907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02"/>
        <w:gridCol w:w="85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4" w:hRule="atLeast"/>
          <w:jc w:val="center"/>
        </w:trPr>
        <w:tc>
          <w:tcPr>
            <w:tcW w:w="502" w:type="dxa"/>
            <w:tcBorders>
              <w:bottom w:val="single" w:color="000000" w:sz="4" w:space="0"/>
              <w:right w:val="single" w:color="000000" w:sz="4" w:space="0"/>
            </w:tcBorders>
            <w:vAlign w:val="center"/>
          </w:tcPr>
          <w:p>
            <w:pPr>
              <w:pStyle w:val="39"/>
              <w:rPr>
                <w:sz w:val="32"/>
                <w:szCs w:val="32"/>
              </w:rPr>
            </w:pPr>
            <w:r>
              <w:rPr>
                <w:sz w:val="32"/>
                <w:szCs w:val="32"/>
              </w:rPr>
              <w:t>区域环境质量现状</w:t>
            </w:r>
          </w:p>
        </w:tc>
        <w:tc>
          <w:tcPr>
            <w:tcW w:w="8569" w:type="dxa"/>
            <w:tcBorders>
              <w:left w:val="single" w:color="000000" w:sz="4" w:space="0"/>
              <w:bottom w:val="single" w:color="000000" w:sz="4" w:space="0"/>
            </w:tcBorders>
          </w:tcPr>
          <w:p>
            <w:pPr>
              <w:pStyle w:val="8"/>
              <w:ind w:left="0" w:leftChars="0" w:firstLine="0" w:firstLineChars="0"/>
              <w:rPr>
                <w:b/>
                <w:bCs/>
                <w:lang w:val="en-US"/>
              </w:rPr>
            </w:pPr>
            <w:r>
              <w:rPr>
                <w:rFonts w:hint="eastAsia"/>
                <w:b/>
                <w:bCs/>
                <w:lang w:val="en-US" w:eastAsia="zh-CN"/>
              </w:rPr>
              <w:t xml:space="preserve">3.1 </w:t>
            </w:r>
            <w:r>
              <w:rPr>
                <w:rFonts w:hint="eastAsia"/>
                <w:b/>
                <w:bCs/>
                <w:lang w:val="en-US"/>
              </w:rPr>
              <w:t>区域环境质量现状</w:t>
            </w:r>
          </w:p>
          <w:p>
            <w:pPr>
              <w:pStyle w:val="9"/>
              <w:spacing w:before="192" w:after="192"/>
            </w:pPr>
            <w:r>
              <w:rPr>
                <w:rFonts w:hint="eastAsia"/>
                <w:lang w:val="en-US" w:eastAsia="zh-CN"/>
              </w:rPr>
              <w:t xml:space="preserve">3.1.1 </w:t>
            </w:r>
            <w:r>
              <w:t>环境空气质量</w:t>
            </w:r>
          </w:p>
          <w:p>
            <w:pPr>
              <w:ind w:firstLine="480"/>
              <w:jc w:val="both"/>
              <w:rPr>
                <w:rFonts w:cs="Times New Roman"/>
                <w:u w:val="none"/>
              </w:rPr>
            </w:pPr>
            <w:r>
              <w:rPr>
                <w:rFonts w:cs="Times New Roman"/>
                <w:u w:val="none"/>
              </w:rPr>
              <w:t>根据《环境影响评价技术导则—大气环境》（HJ2.2-2018）中“6.2.1项目所在区域达标判定，优先采用国家或地方生态环境主管部门公开发布的评价基准年环境质量公告或环境质量报告中数据或结论”。</w:t>
            </w:r>
            <w:r>
              <w:rPr>
                <w:rFonts w:hint="eastAsia" w:cs="Times New Roman"/>
                <w:u w:val="none"/>
              </w:rPr>
              <w:t>本环评引用湘西州环境监测站公布的《环境质量简报》中关于凤凰县环境空气监测因子SO</w:t>
            </w:r>
            <w:r>
              <w:rPr>
                <w:rFonts w:hint="eastAsia" w:cs="Times New Roman"/>
                <w:u w:val="none"/>
                <w:vertAlign w:val="subscript"/>
              </w:rPr>
              <w:t>2</w:t>
            </w:r>
            <w:r>
              <w:rPr>
                <w:rFonts w:hint="eastAsia" w:cs="Times New Roman"/>
                <w:u w:val="none"/>
              </w:rPr>
              <w:t>、NO</w:t>
            </w:r>
            <w:r>
              <w:rPr>
                <w:rFonts w:hint="eastAsia" w:cs="Times New Roman"/>
                <w:u w:val="none"/>
                <w:vertAlign w:val="subscript"/>
              </w:rPr>
              <w:t>2</w:t>
            </w:r>
            <w:r>
              <w:rPr>
                <w:rFonts w:hint="eastAsia" w:cs="Times New Roman"/>
                <w:u w:val="none"/>
              </w:rPr>
              <w:t>、PM</w:t>
            </w:r>
            <w:r>
              <w:rPr>
                <w:rFonts w:hint="eastAsia" w:cs="Times New Roman"/>
                <w:u w:val="none"/>
                <w:vertAlign w:val="subscript"/>
              </w:rPr>
              <w:t>10</w:t>
            </w:r>
            <w:r>
              <w:rPr>
                <w:rFonts w:hint="eastAsia" w:cs="Times New Roman"/>
                <w:u w:val="none"/>
              </w:rPr>
              <w:t>、CO、O</w:t>
            </w:r>
            <w:r>
              <w:rPr>
                <w:rFonts w:hint="eastAsia" w:cs="Times New Roman"/>
                <w:u w:val="none"/>
                <w:vertAlign w:val="subscript"/>
              </w:rPr>
              <w:t>3</w:t>
            </w:r>
            <w:r>
              <w:rPr>
                <w:rFonts w:hint="eastAsia" w:cs="Times New Roman"/>
                <w:u w:val="none"/>
              </w:rPr>
              <w:t>、PM</w:t>
            </w:r>
            <w:r>
              <w:rPr>
                <w:rFonts w:hint="eastAsia" w:cs="Times New Roman"/>
                <w:u w:val="none"/>
                <w:vertAlign w:val="subscript"/>
              </w:rPr>
              <w:t>2.5</w:t>
            </w:r>
            <w:r>
              <w:rPr>
                <w:rFonts w:hint="eastAsia" w:cs="Times New Roman"/>
                <w:u w:val="none"/>
              </w:rPr>
              <w:t>的2020年年平均浓度的数据</w:t>
            </w:r>
            <w:r>
              <w:rPr>
                <w:rFonts w:cs="Times New Roman"/>
                <w:u w:val="none"/>
              </w:rPr>
              <w:t>，</w:t>
            </w:r>
            <w:r>
              <w:rPr>
                <w:rFonts w:hint="eastAsia" w:cs="Times New Roman"/>
                <w:u w:val="none"/>
              </w:rPr>
              <w:t>对建设项目所在地区环境空气质量现状进行分析，监测数据以及达标情况见表</w:t>
            </w:r>
            <w:r>
              <w:rPr>
                <w:rFonts w:hint="eastAsia" w:cs="Times New Roman"/>
                <w:u w:val="none"/>
                <w:lang w:val="en-US" w:eastAsia="zh-CN"/>
              </w:rPr>
              <w:t>3</w:t>
            </w:r>
            <w:r>
              <w:rPr>
                <w:rFonts w:cs="Times New Roman"/>
                <w:u w:val="none"/>
              </w:rPr>
              <w:t>-1。</w:t>
            </w:r>
          </w:p>
          <w:p>
            <w:pPr>
              <w:pStyle w:val="43"/>
              <w:rPr>
                <w:rFonts w:cs="Times New Roman"/>
                <w:u w:val="none"/>
              </w:rPr>
            </w:pPr>
            <w:r>
              <w:rPr>
                <w:rFonts w:cs="Times New Roman"/>
                <w:u w:val="none"/>
              </w:rPr>
              <w:t>表3-1：</w:t>
            </w:r>
            <w:r>
              <w:rPr>
                <w:rFonts w:hint="eastAsia" w:cs="Times New Roman"/>
                <w:u w:val="none"/>
                <w:lang w:eastAsia="zh-CN"/>
              </w:rPr>
              <w:t>凤凰</w:t>
            </w:r>
            <w:r>
              <w:rPr>
                <w:rFonts w:cs="Times New Roman"/>
                <w:u w:val="none"/>
              </w:rPr>
              <w:t>县</w:t>
            </w:r>
            <w:r>
              <w:rPr>
                <w:rFonts w:hint="eastAsia" w:cs="Times New Roman"/>
                <w:u w:val="none"/>
                <w:lang w:val="en-US" w:eastAsia="zh-CN"/>
              </w:rPr>
              <w:t>2020</w:t>
            </w:r>
            <w:r>
              <w:rPr>
                <w:rFonts w:cs="Times New Roman"/>
                <w:u w:val="none"/>
              </w:rPr>
              <w:t>年环境空气年平均浓度结果及达标情况</w:t>
            </w:r>
          </w:p>
          <w:tbl>
            <w:tblPr>
              <w:tblStyle w:val="31"/>
              <w:tblW w:w="8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973"/>
              <w:gridCol w:w="1412"/>
              <w:gridCol w:w="1442"/>
              <w:gridCol w:w="1447"/>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20" w:type="pct"/>
                  <w:vAlign w:val="center"/>
                </w:tcPr>
                <w:p>
                  <w:pPr>
                    <w:pStyle w:val="44"/>
                    <w:rPr>
                      <w:rFonts w:ascii="Times New Roman" w:hAnsi="Times New Roman" w:cs="Times New Roman"/>
                      <w:b/>
                      <w:bCs/>
                      <w:szCs w:val="21"/>
                      <w:u w:val="none"/>
                    </w:rPr>
                  </w:pPr>
                  <w:r>
                    <w:rPr>
                      <w:rFonts w:ascii="Times New Roman" w:hAnsi="Times New Roman" w:cs="Times New Roman"/>
                      <w:b/>
                      <w:bCs/>
                      <w:szCs w:val="21"/>
                      <w:u w:val="none"/>
                    </w:rPr>
                    <w:t>污染物</w:t>
                  </w:r>
                </w:p>
              </w:tc>
              <w:tc>
                <w:tcPr>
                  <w:tcW w:w="1194" w:type="pct"/>
                  <w:vAlign w:val="center"/>
                </w:tcPr>
                <w:p>
                  <w:pPr>
                    <w:pStyle w:val="44"/>
                    <w:rPr>
                      <w:rFonts w:ascii="Times New Roman" w:hAnsi="Times New Roman" w:cs="Times New Roman"/>
                      <w:b/>
                      <w:bCs/>
                      <w:szCs w:val="21"/>
                      <w:u w:val="none"/>
                    </w:rPr>
                  </w:pPr>
                  <w:r>
                    <w:rPr>
                      <w:rFonts w:ascii="Times New Roman" w:hAnsi="Times New Roman" w:cs="Times New Roman"/>
                      <w:b/>
                      <w:bCs/>
                      <w:szCs w:val="21"/>
                      <w:u w:val="none"/>
                    </w:rPr>
                    <w:t>年评价指标</w:t>
                  </w:r>
                </w:p>
              </w:tc>
              <w:tc>
                <w:tcPr>
                  <w:tcW w:w="855" w:type="pct"/>
                  <w:vAlign w:val="center"/>
                </w:tcPr>
                <w:p>
                  <w:pPr>
                    <w:pStyle w:val="44"/>
                    <w:rPr>
                      <w:rFonts w:ascii="Times New Roman" w:hAnsi="Times New Roman" w:cs="Times New Roman"/>
                      <w:b/>
                      <w:bCs/>
                      <w:szCs w:val="21"/>
                      <w:u w:val="none"/>
                    </w:rPr>
                  </w:pPr>
                  <w:r>
                    <w:rPr>
                      <w:rFonts w:ascii="Times New Roman" w:hAnsi="Times New Roman" w:cs="Times New Roman"/>
                      <w:b/>
                      <w:bCs/>
                      <w:szCs w:val="21"/>
                      <w:u w:val="none"/>
                    </w:rPr>
                    <w:t>现状浓度/（µg/m</w:t>
                  </w:r>
                  <w:r>
                    <w:rPr>
                      <w:rFonts w:ascii="Times New Roman" w:hAnsi="Times New Roman" w:cs="Times New Roman"/>
                      <w:b/>
                      <w:bCs/>
                      <w:szCs w:val="21"/>
                      <w:u w:val="none"/>
                      <w:vertAlign w:val="superscript"/>
                    </w:rPr>
                    <w:t>3</w:t>
                  </w:r>
                  <w:r>
                    <w:rPr>
                      <w:rFonts w:ascii="Times New Roman" w:hAnsi="Times New Roman" w:cs="Times New Roman"/>
                      <w:b/>
                      <w:bCs/>
                      <w:szCs w:val="21"/>
                      <w:u w:val="none"/>
                    </w:rPr>
                    <w:t>）</w:t>
                  </w:r>
                </w:p>
              </w:tc>
              <w:tc>
                <w:tcPr>
                  <w:tcW w:w="873" w:type="pct"/>
                  <w:vAlign w:val="center"/>
                </w:tcPr>
                <w:p>
                  <w:pPr>
                    <w:pStyle w:val="44"/>
                    <w:rPr>
                      <w:rFonts w:ascii="Times New Roman" w:hAnsi="Times New Roman" w:cs="Times New Roman"/>
                      <w:b/>
                      <w:bCs/>
                      <w:szCs w:val="21"/>
                      <w:u w:val="none"/>
                    </w:rPr>
                  </w:pPr>
                  <w:r>
                    <w:rPr>
                      <w:rFonts w:ascii="Times New Roman" w:hAnsi="Times New Roman" w:cs="Times New Roman"/>
                      <w:b/>
                      <w:bCs/>
                      <w:szCs w:val="21"/>
                      <w:u w:val="none"/>
                    </w:rPr>
                    <w:t>标准值/（µg/m</w:t>
                  </w:r>
                  <w:r>
                    <w:rPr>
                      <w:rFonts w:ascii="Times New Roman" w:hAnsi="Times New Roman" w:cs="Times New Roman"/>
                      <w:b/>
                      <w:bCs/>
                      <w:szCs w:val="21"/>
                      <w:u w:val="none"/>
                      <w:vertAlign w:val="superscript"/>
                    </w:rPr>
                    <w:t>3</w:t>
                  </w:r>
                  <w:r>
                    <w:rPr>
                      <w:rFonts w:ascii="Times New Roman" w:hAnsi="Times New Roman" w:cs="Times New Roman"/>
                      <w:b/>
                      <w:bCs/>
                      <w:szCs w:val="21"/>
                      <w:u w:val="none"/>
                    </w:rPr>
                    <w:t>）</w:t>
                  </w:r>
                </w:p>
              </w:tc>
              <w:tc>
                <w:tcPr>
                  <w:tcW w:w="876" w:type="pct"/>
                  <w:vAlign w:val="center"/>
                </w:tcPr>
                <w:p>
                  <w:pPr>
                    <w:pStyle w:val="44"/>
                    <w:rPr>
                      <w:rFonts w:ascii="Times New Roman" w:hAnsi="Times New Roman" w:cs="Times New Roman"/>
                      <w:b/>
                      <w:bCs/>
                      <w:szCs w:val="21"/>
                      <w:u w:val="none"/>
                    </w:rPr>
                  </w:pPr>
                  <w:r>
                    <w:rPr>
                      <w:rFonts w:ascii="Times New Roman" w:hAnsi="Times New Roman" w:cs="Times New Roman"/>
                      <w:b/>
                      <w:bCs/>
                      <w:szCs w:val="21"/>
                      <w:u w:val="none"/>
                    </w:rPr>
                    <w:t>占标率/（%）</w:t>
                  </w:r>
                </w:p>
              </w:tc>
              <w:tc>
                <w:tcPr>
                  <w:tcW w:w="680" w:type="pct"/>
                  <w:vAlign w:val="center"/>
                </w:tcPr>
                <w:p>
                  <w:pPr>
                    <w:pStyle w:val="44"/>
                    <w:rPr>
                      <w:rFonts w:ascii="Times New Roman" w:hAnsi="Times New Roman" w:cs="Times New Roman"/>
                      <w:b/>
                      <w:bCs/>
                      <w:szCs w:val="21"/>
                      <w:u w:val="none"/>
                    </w:rPr>
                  </w:pPr>
                  <w:r>
                    <w:rPr>
                      <w:rFonts w:ascii="Times New Roman" w:hAnsi="Times New Roman" w:cs="Times New Roman"/>
                      <w:b/>
                      <w:bCs/>
                      <w:szCs w:val="21"/>
                      <w:u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20"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SO</w:t>
                  </w:r>
                  <w:r>
                    <w:rPr>
                      <w:rFonts w:ascii="Times New Roman" w:hAnsi="Times New Roman" w:cs="Times New Roman"/>
                      <w:szCs w:val="21"/>
                      <w:u w:val="none"/>
                      <w:vertAlign w:val="subscript"/>
                    </w:rPr>
                    <w:t>2</w:t>
                  </w:r>
                </w:p>
              </w:tc>
              <w:tc>
                <w:tcPr>
                  <w:tcW w:w="1194"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年平均质量浓度</w:t>
                  </w:r>
                </w:p>
              </w:tc>
              <w:tc>
                <w:tcPr>
                  <w:tcW w:w="855"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8</w:t>
                  </w:r>
                </w:p>
              </w:tc>
              <w:tc>
                <w:tcPr>
                  <w:tcW w:w="873"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35</w:t>
                  </w:r>
                </w:p>
              </w:tc>
              <w:tc>
                <w:tcPr>
                  <w:tcW w:w="876"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22.85</w:t>
                  </w:r>
                </w:p>
              </w:tc>
              <w:tc>
                <w:tcPr>
                  <w:tcW w:w="680"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20"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NO</w:t>
                  </w:r>
                  <w:r>
                    <w:rPr>
                      <w:rFonts w:ascii="Times New Roman" w:hAnsi="Times New Roman" w:cs="Times New Roman"/>
                      <w:szCs w:val="21"/>
                      <w:u w:val="none"/>
                      <w:vertAlign w:val="subscript"/>
                    </w:rPr>
                    <w:t>2</w:t>
                  </w:r>
                </w:p>
              </w:tc>
              <w:tc>
                <w:tcPr>
                  <w:tcW w:w="1194"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年平均质量浓度</w:t>
                  </w:r>
                </w:p>
              </w:tc>
              <w:tc>
                <w:tcPr>
                  <w:tcW w:w="855"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13</w:t>
                  </w:r>
                </w:p>
              </w:tc>
              <w:tc>
                <w:tcPr>
                  <w:tcW w:w="873"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70</w:t>
                  </w:r>
                </w:p>
              </w:tc>
              <w:tc>
                <w:tcPr>
                  <w:tcW w:w="876"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18.57</w:t>
                  </w:r>
                </w:p>
              </w:tc>
              <w:tc>
                <w:tcPr>
                  <w:tcW w:w="680"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20"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PM</w:t>
                  </w:r>
                  <w:r>
                    <w:rPr>
                      <w:rFonts w:ascii="Times New Roman" w:hAnsi="Times New Roman" w:cs="Times New Roman"/>
                      <w:szCs w:val="21"/>
                      <w:u w:val="none"/>
                      <w:vertAlign w:val="subscript"/>
                    </w:rPr>
                    <w:t>10</w:t>
                  </w:r>
                </w:p>
              </w:tc>
              <w:tc>
                <w:tcPr>
                  <w:tcW w:w="1194"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年平均质量浓度</w:t>
                  </w:r>
                </w:p>
              </w:tc>
              <w:tc>
                <w:tcPr>
                  <w:tcW w:w="855"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56</w:t>
                  </w:r>
                </w:p>
              </w:tc>
              <w:tc>
                <w:tcPr>
                  <w:tcW w:w="873"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60</w:t>
                  </w:r>
                </w:p>
              </w:tc>
              <w:tc>
                <w:tcPr>
                  <w:tcW w:w="876"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93.33</w:t>
                  </w:r>
                </w:p>
              </w:tc>
              <w:tc>
                <w:tcPr>
                  <w:tcW w:w="680"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20"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PM</w:t>
                  </w:r>
                  <w:r>
                    <w:rPr>
                      <w:rFonts w:ascii="Times New Roman" w:hAnsi="Times New Roman" w:cs="Times New Roman"/>
                      <w:szCs w:val="21"/>
                      <w:u w:val="none"/>
                      <w:vertAlign w:val="subscript"/>
                    </w:rPr>
                    <w:t>2.5</w:t>
                  </w:r>
                </w:p>
              </w:tc>
              <w:tc>
                <w:tcPr>
                  <w:tcW w:w="1194"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年平均质量浓度</w:t>
                  </w:r>
                </w:p>
              </w:tc>
              <w:tc>
                <w:tcPr>
                  <w:tcW w:w="855"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29</w:t>
                  </w:r>
                </w:p>
              </w:tc>
              <w:tc>
                <w:tcPr>
                  <w:tcW w:w="873"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40</w:t>
                  </w:r>
                </w:p>
              </w:tc>
              <w:tc>
                <w:tcPr>
                  <w:tcW w:w="876"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72.5</w:t>
                  </w:r>
                </w:p>
              </w:tc>
              <w:tc>
                <w:tcPr>
                  <w:tcW w:w="680"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20"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O</w:t>
                  </w:r>
                  <w:r>
                    <w:rPr>
                      <w:rFonts w:ascii="Times New Roman" w:hAnsi="Times New Roman" w:cs="Times New Roman"/>
                      <w:szCs w:val="21"/>
                      <w:u w:val="none"/>
                      <w:vertAlign w:val="subscript"/>
                    </w:rPr>
                    <w:t>3</w:t>
                  </w:r>
                </w:p>
              </w:tc>
              <w:tc>
                <w:tcPr>
                  <w:tcW w:w="1194"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日最大8小时平均质量浓度</w:t>
                  </w:r>
                </w:p>
              </w:tc>
              <w:tc>
                <w:tcPr>
                  <w:tcW w:w="855"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118</w:t>
                  </w:r>
                </w:p>
              </w:tc>
              <w:tc>
                <w:tcPr>
                  <w:tcW w:w="873"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160</w:t>
                  </w:r>
                </w:p>
              </w:tc>
              <w:tc>
                <w:tcPr>
                  <w:tcW w:w="876"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73.75</w:t>
                  </w:r>
                </w:p>
              </w:tc>
              <w:tc>
                <w:tcPr>
                  <w:tcW w:w="680"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20"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CO</w:t>
                  </w:r>
                </w:p>
              </w:tc>
              <w:tc>
                <w:tcPr>
                  <w:tcW w:w="1194"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24小时平均质量浓度</w:t>
                  </w:r>
                </w:p>
              </w:tc>
              <w:tc>
                <w:tcPr>
                  <w:tcW w:w="855"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1400</w:t>
                  </w:r>
                </w:p>
              </w:tc>
              <w:tc>
                <w:tcPr>
                  <w:tcW w:w="873"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4000</w:t>
                  </w:r>
                </w:p>
              </w:tc>
              <w:tc>
                <w:tcPr>
                  <w:tcW w:w="876"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0.35</w:t>
                  </w:r>
                </w:p>
              </w:tc>
              <w:tc>
                <w:tcPr>
                  <w:tcW w:w="680" w:type="pct"/>
                  <w:vAlign w:val="center"/>
                </w:tcPr>
                <w:p>
                  <w:pPr>
                    <w:pStyle w:val="44"/>
                    <w:rPr>
                      <w:rFonts w:ascii="Times New Roman" w:hAnsi="Times New Roman" w:cs="Times New Roman"/>
                      <w:szCs w:val="21"/>
                      <w:u w:val="none"/>
                    </w:rPr>
                  </w:pPr>
                  <w:r>
                    <w:rPr>
                      <w:rFonts w:ascii="Times New Roman" w:hAnsi="Times New Roman" w:cs="Times New Roman"/>
                      <w:szCs w:val="21"/>
                      <w:u w:val="none"/>
                    </w:rPr>
                    <w:t>达标</w:t>
                  </w: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sz w:val="24"/>
                <w:szCs w:val="24"/>
              </w:rPr>
            </w:pPr>
            <w:r>
              <w:rPr>
                <w:rFonts w:hint="eastAsia"/>
                <w:sz w:val="24"/>
                <w:szCs w:val="24"/>
              </w:rPr>
              <w:t>上述数据表明，</w:t>
            </w:r>
            <w:r>
              <w:rPr>
                <w:rFonts w:hint="eastAsia"/>
                <w:sz w:val="24"/>
                <w:szCs w:val="24"/>
                <w:lang w:val="en-US" w:eastAsia="zh-CN"/>
              </w:rPr>
              <w:t>2020</w:t>
            </w:r>
            <w:r>
              <w:rPr>
                <w:rFonts w:hint="eastAsia"/>
                <w:sz w:val="24"/>
                <w:szCs w:val="24"/>
              </w:rPr>
              <w:t>年度</w:t>
            </w:r>
            <w:r>
              <w:rPr>
                <w:rFonts w:hint="eastAsia"/>
                <w:sz w:val="24"/>
                <w:szCs w:val="24"/>
                <w:lang w:eastAsia="zh-CN"/>
              </w:rPr>
              <w:t>凤凰</w:t>
            </w:r>
            <w:r>
              <w:rPr>
                <w:rFonts w:hint="eastAsia"/>
                <w:sz w:val="24"/>
                <w:szCs w:val="24"/>
              </w:rPr>
              <w:t>县地区</w:t>
            </w:r>
            <w:r>
              <w:rPr>
                <w:sz w:val="24"/>
                <w:szCs w:val="24"/>
              </w:rPr>
              <w:t>SO</w:t>
            </w:r>
            <w:r>
              <w:rPr>
                <w:sz w:val="24"/>
                <w:szCs w:val="24"/>
                <w:vertAlign w:val="subscript"/>
              </w:rPr>
              <w:t>2</w:t>
            </w:r>
            <w:r>
              <w:rPr>
                <w:rFonts w:hint="eastAsia"/>
                <w:sz w:val="24"/>
                <w:szCs w:val="24"/>
              </w:rPr>
              <w:t>、</w:t>
            </w:r>
            <w:r>
              <w:rPr>
                <w:sz w:val="24"/>
                <w:szCs w:val="24"/>
              </w:rPr>
              <w:t>NO</w:t>
            </w:r>
            <w:r>
              <w:rPr>
                <w:sz w:val="24"/>
                <w:szCs w:val="24"/>
                <w:vertAlign w:val="subscript"/>
              </w:rPr>
              <w:t>2</w:t>
            </w:r>
            <w:r>
              <w:rPr>
                <w:rFonts w:hint="eastAsia"/>
                <w:sz w:val="24"/>
                <w:szCs w:val="24"/>
              </w:rPr>
              <w:t>、</w:t>
            </w:r>
            <w:r>
              <w:rPr>
                <w:sz w:val="24"/>
                <w:szCs w:val="24"/>
              </w:rPr>
              <w:t>PM</w:t>
            </w:r>
            <w:r>
              <w:rPr>
                <w:sz w:val="24"/>
                <w:szCs w:val="24"/>
                <w:vertAlign w:val="subscript"/>
              </w:rPr>
              <w:t>10</w:t>
            </w:r>
            <w:r>
              <w:rPr>
                <w:rFonts w:hint="eastAsia"/>
                <w:sz w:val="24"/>
                <w:szCs w:val="24"/>
              </w:rPr>
              <w:t>、</w:t>
            </w:r>
            <w:r>
              <w:rPr>
                <w:rFonts w:hint="eastAsia"/>
                <w:sz w:val="24"/>
                <w:szCs w:val="24"/>
                <w:lang w:val="en-US" w:eastAsia="zh-CN"/>
              </w:rPr>
              <w:t>PM</w:t>
            </w:r>
            <w:r>
              <w:rPr>
                <w:rFonts w:hint="eastAsia"/>
                <w:sz w:val="24"/>
                <w:szCs w:val="24"/>
                <w:vertAlign w:val="subscript"/>
                <w:lang w:eastAsia="zh-CN"/>
              </w:rPr>
              <w:t>2</w:t>
            </w:r>
            <w:r>
              <w:rPr>
                <w:sz w:val="24"/>
                <w:szCs w:val="24"/>
                <w:vertAlign w:val="subscript"/>
              </w:rPr>
              <w:t>.5</w:t>
            </w:r>
            <w:r>
              <w:rPr>
                <w:rFonts w:hint="eastAsia"/>
                <w:sz w:val="24"/>
                <w:szCs w:val="24"/>
              </w:rPr>
              <w:t>的年平均浓度值</w:t>
            </w:r>
            <w:r>
              <w:rPr>
                <w:rFonts w:hint="eastAsia"/>
                <w:sz w:val="24"/>
                <w:szCs w:val="24"/>
                <w:lang w:eastAsia="zh-CN"/>
              </w:rPr>
              <w:t>，</w:t>
            </w:r>
            <w:r>
              <w:rPr>
                <w:sz w:val="24"/>
                <w:szCs w:val="24"/>
              </w:rPr>
              <w:t>CO24</w:t>
            </w:r>
            <w:r>
              <w:rPr>
                <w:rFonts w:hint="eastAsia"/>
                <w:sz w:val="24"/>
                <w:szCs w:val="24"/>
              </w:rPr>
              <w:t>小时平均第</w:t>
            </w:r>
            <w:r>
              <w:rPr>
                <w:sz w:val="24"/>
                <w:szCs w:val="24"/>
              </w:rPr>
              <w:t>95</w:t>
            </w:r>
            <w:r>
              <w:rPr>
                <w:rFonts w:hint="eastAsia"/>
                <w:sz w:val="24"/>
                <w:szCs w:val="24"/>
              </w:rPr>
              <w:t>百分位数浓度</w:t>
            </w:r>
            <w:r>
              <w:rPr>
                <w:rFonts w:hint="eastAsia"/>
                <w:sz w:val="24"/>
                <w:szCs w:val="24"/>
                <w:lang w:eastAsia="zh-CN"/>
              </w:rPr>
              <w:t>值，</w:t>
            </w:r>
            <w:r>
              <w:rPr>
                <w:sz w:val="24"/>
                <w:szCs w:val="24"/>
              </w:rPr>
              <w:t>O3</w:t>
            </w:r>
            <w:r>
              <w:rPr>
                <w:rFonts w:hint="eastAsia"/>
                <w:sz w:val="24"/>
                <w:szCs w:val="24"/>
              </w:rPr>
              <w:t>的日最大</w:t>
            </w:r>
            <w:r>
              <w:rPr>
                <w:sz w:val="24"/>
                <w:szCs w:val="24"/>
              </w:rPr>
              <w:t>8</w:t>
            </w:r>
            <w:r>
              <w:rPr>
                <w:rFonts w:hint="eastAsia"/>
                <w:sz w:val="24"/>
                <w:szCs w:val="24"/>
              </w:rPr>
              <w:t>小时平</w:t>
            </w:r>
            <w:r>
              <w:rPr>
                <w:rFonts w:hint="default"/>
                <w:sz w:val="24"/>
                <w:szCs w:val="24"/>
              </w:rPr>
              <w:t>均第90百分位数浓度</w:t>
            </w:r>
            <w:r>
              <w:rPr>
                <w:rFonts w:hint="default"/>
                <w:sz w:val="24"/>
                <w:szCs w:val="24"/>
                <w:lang w:eastAsia="zh-CN"/>
              </w:rPr>
              <w:t>值均达到</w:t>
            </w:r>
            <w:r>
              <w:rPr>
                <w:rFonts w:hint="default"/>
                <w:sz w:val="24"/>
                <w:szCs w:val="24"/>
              </w:rPr>
              <w:t>《环境空气质量标准》（GB3095-2012）中二级标准及其201</w:t>
            </w:r>
            <w:r>
              <w:rPr>
                <w:rFonts w:hint="eastAsia"/>
                <w:sz w:val="24"/>
                <w:szCs w:val="24"/>
              </w:rPr>
              <w:t>8年修改单要求。</w:t>
            </w:r>
          </w:p>
          <w:p>
            <w:pPr>
              <w:suppressAutoHyphens/>
              <w:topLinePunct/>
              <w:ind w:firstLine="480"/>
              <w:jc w:val="both"/>
              <w:rPr>
                <w:rFonts w:hint="eastAsia"/>
                <w:sz w:val="24"/>
                <w:szCs w:val="24"/>
              </w:rPr>
            </w:pPr>
            <w:r>
              <w:rPr>
                <w:rFonts w:hint="eastAsia"/>
                <w:sz w:val="24"/>
                <w:szCs w:val="24"/>
              </w:rPr>
              <w:t>根据《环境影响评价技术导则大气环境》（</w:t>
            </w:r>
            <w:r>
              <w:rPr>
                <w:sz w:val="24"/>
                <w:szCs w:val="24"/>
              </w:rPr>
              <w:t>HJ2.2-2018</w:t>
            </w:r>
            <w:r>
              <w:rPr>
                <w:rFonts w:hint="eastAsia"/>
                <w:sz w:val="24"/>
                <w:szCs w:val="24"/>
              </w:rPr>
              <w:t>）对项目所在区域环境空气质量进行达标判断，六项污染物全部达标，故本项目所在区域为环境空气质量达标区。</w:t>
            </w:r>
          </w:p>
          <w:p>
            <w:pPr>
              <w:pStyle w:val="30"/>
              <w:keepNext w:val="0"/>
              <w:keepLines w:val="0"/>
              <w:pageBreakBefore w:val="0"/>
              <w:widowControl w:val="0"/>
              <w:kinsoku/>
              <w:wordWrap w:val="0"/>
              <w:overflowPunct/>
              <w:topLinePunct w:val="0"/>
              <w:autoSpaceDE w:val="0"/>
              <w:autoSpaceDN w:val="0"/>
              <w:bidi w:val="0"/>
              <w:adjustRightInd/>
              <w:snapToGrid/>
              <w:ind w:left="0" w:leftChars="0" w:firstLine="482" w:firstLineChars="200"/>
              <w:textAlignment w:val="auto"/>
              <w:rPr>
                <w:rFonts w:hint="eastAsia"/>
                <w:b/>
                <w:bCs/>
                <w:sz w:val="24"/>
                <w:szCs w:val="24"/>
                <w:lang w:val="en-US" w:eastAsia="zh-CN"/>
              </w:rPr>
            </w:pPr>
            <w:r>
              <w:rPr>
                <w:rFonts w:hint="eastAsia"/>
                <w:b/>
                <w:bCs/>
                <w:sz w:val="24"/>
                <w:szCs w:val="24"/>
                <w:lang w:val="en-US" w:eastAsia="zh-CN"/>
              </w:rPr>
              <w:t>引用监测：</w:t>
            </w:r>
          </w:p>
          <w:p>
            <w:pPr>
              <w:pStyle w:val="29"/>
              <w:rPr>
                <w:rFonts w:hint="eastAsia"/>
                <w:lang w:val="en-US" w:eastAsia="zh-CN"/>
              </w:rPr>
            </w:pPr>
            <w:r>
              <w:rPr>
                <w:rFonts w:hint="eastAsia"/>
                <w:lang w:val="en-US" w:eastAsia="zh-CN"/>
              </w:rPr>
              <w:t>为全面评价区域内环境空气质量，本项目引用《凤凰县人防地面应急指挥中心建设项目》中环境空气质量补充监测结果，引用里有如下：</w:t>
            </w:r>
          </w:p>
          <w:p>
            <w:pPr>
              <w:rPr>
                <w:rFonts w:hint="default"/>
                <w:lang w:val="en-US" w:eastAsia="zh-CN"/>
              </w:rPr>
            </w:pPr>
            <w:r>
              <w:rPr>
                <w:rFonts w:hint="default"/>
                <w:lang w:val="en-US" w:eastAsia="zh-CN"/>
              </w:rPr>
              <w:t>①引用监测时间为2020年</w:t>
            </w:r>
            <w:r>
              <w:rPr>
                <w:rFonts w:hint="eastAsia"/>
                <w:lang w:val="en-US" w:eastAsia="zh-CN"/>
              </w:rPr>
              <w:t>11</w:t>
            </w:r>
            <w:r>
              <w:rPr>
                <w:rFonts w:hint="default"/>
                <w:lang w:val="en-US" w:eastAsia="zh-CN"/>
              </w:rPr>
              <w:t>月</w:t>
            </w:r>
            <w:r>
              <w:rPr>
                <w:rFonts w:hint="eastAsia"/>
                <w:lang w:val="en-US" w:eastAsia="zh-CN"/>
              </w:rPr>
              <w:t>9</w:t>
            </w:r>
            <w:r>
              <w:rPr>
                <w:rFonts w:hint="default"/>
                <w:lang w:val="en-US" w:eastAsia="zh-CN"/>
              </w:rPr>
              <w:t>日至2020年</w:t>
            </w:r>
            <w:r>
              <w:rPr>
                <w:rFonts w:hint="eastAsia"/>
                <w:lang w:val="en-US" w:eastAsia="zh-CN"/>
              </w:rPr>
              <w:t>11</w:t>
            </w:r>
            <w:r>
              <w:rPr>
                <w:rFonts w:hint="default"/>
                <w:lang w:val="en-US" w:eastAsia="zh-CN"/>
              </w:rPr>
              <w:t>月</w:t>
            </w:r>
            <w:r>
              <w:rPr>
                <w:rFonts w:hint="eastAsia"/>
                <w:lang w:val="en-US" w:eastAsia="zh-CN"/>
              </w:rPr>
              <w:t>15</w:t>
            </w:r>
            <w:r>
              <w:rPr>
                <w:rFonts w:hint="default"/>
                <w:lang w:val="en-US" w:eastAsia="zh-CN"/>
              </w:rPr>
              <w:t>日,监测时间在3年有效期内</w:t>
            </w:r>
            <w:r>
              <w:rPr>
                <w:rFonts w:hint="eastAsia"/>
                <w:lang w:val="en-US" w:eastAsia="zh-CN"/>
              </w:rPr>
              <w:t>；</w:t>
            </w:r>
          </w:p>
          <w:p>
            <w:pPr>
              <w:rPr>
                <w:rFonts w:hint="default"/>
                <w:lang w:val="en-US" w:eastAsia="zh-CN"/>
              </w:rPr>
            </w:pPr>
            <w:r>
              <w:rPr>
                <w:rFonts w:hint="default"/>
                <w:lang w:val="en-US" w:eastAsia="zh-CN"/>
              </w:rPr>
              <w:t>②引用项目数据点</w:t>
            </w:r>
            <w:r>
              <w:rPr>
                <w:rFonts w:hint="eastAsia"/>
                <w:lang w:val="en-US" w:eastAsia="zh-CN"/>
              </w:rPr>
              <w:t>距离本项目3800m，在本项目外5000m范围内；</w:t>
            </w:r>
          </w:p>
          <w:p>
            <w:pPr>
              <w:rPr>
                <w:rFonts w:hint="default"/>
                <w:lang w:val="en-US" w:eastAsia="zh-CN"/>
              </w:rPr>
            </w:pPr>
            <w:r>
              <w:rPr>
                <w:rFonts w:hint="default"/>
                <w:lang w:val="en-US" w:eastAsia="zh-CN"/>
              </w:rPr>
              <w:t>③监测项目全面，包含了本项目污染因子。</w:t>
            </w:r>
          </w:p>
          <w:p>
            <w:pPr>
              <w:pStyle w:val="30"/>
              <w:keepNext w:val="0"/>
              <w:keepLines w:val="0"/>
              <w:pageBreakBefore w:val="0"/>
              <w:widowControl w:val="0"/>
              <w:kinsoku/>
              <w:wordWrap w:val="0"/>
              <w:overflowPunct/>
              <w:topLinePunct w:val="0"/>
              <w:autoSpaceDE w:val="0"/>
              <w:autoSpaceDN w:val="0"/>
              <w:bidi w:val="0"/>
              <w:adjustRightInd/>
              <w:snapToGrid/>
              <w:spacing w:after="0"/>
              <w:ind w:left="0" w:leftChars="0" w:firstLine="0" w:firstLineChars="0"/>
              <w:textAlignment w:val="auto"/>
              <w:rPr>
                <w:rFonts w:hint="default"/>
                <w:lang w:val="en-US" w:eastAsia="zh-CN"/>
              </w:rPr>
            </w:pPr>
            <w:r>
              <w:rPr>
                <w:rFonts w:hint="default"/>
                <w:lang w:val="en-US" w:eastAsia="zh-CN"/>
              </w:rPr>
              <w:t>检测点位图详见附图</w:t>
            </w:r>
            <w:r>
              <w:rPr>
                <w:rFonts w:hint="eastAsia"/>
                <w:lang w:val="en-US" w:eastAsia="zh-CN"/>
              </w:rPr>
              <w:t>2</w:t>
            </w:r>
            <w:r>
              <w:rPr>
                <w:rFonts w:hint="default"/>
                <w:lang w:val="en-US" w:eastAsia="zh-CN"/>
              </w:rPr>
              <w:t>：项目引用监测点位图</w:t>
            </w:r>
          </w:p>
          <w:p>
            <w:pPr>
              <w:rPr>
                <w:rFonts w:hint="default"/>
                <w:lang w:val="en-US" w:eastAsia="zh-CN"/>
              </w:rPr>
            </w:pPr>
            <w:r>
              <w:rPr>
                <w:rFonts w:hint="default"/>
                <w:lang w:val="en-US" w:eastAsia="zh-CN"/>
              </w:rPr>
              <w:t>凤凰县人防地面应急指挥中心建设项目位于项目所在地</w:t>
            </w:r>
            <w:r>
              <w:rPr>
                <w:rFonts w:hint="eastAsia"/>
                <w:lang w:val="en-US" w:eastAsia="zh-CN"/>
              </w:rPr>
              <w:t>西南侧3800m处</w:t>
            </w:r>
            <w:r>
              <w:rPr>
                <w:rFonts w:hint="default"/>
                <w:lang w:val="en-US" w:eastAsia="zh-CN"/>
              </w:rPr>
              <w:t>，湖南昌旭环保科技有限公司2020年</w:t>
            </w:r>
            <w:r>
              <w:rPr>
                <w:rFonts w:hint="eastAsia"/>
                <w:lang w:val="en-US" w:eastAsia="zh-CN"/>
              </w:rPr>
              <w:t>11</w:t>
            </w:r>
            <w:r>
              <w:rPr>
                <w:rFonts w:hint="default"/>
                <w:lang w:val="en-US" w:eastAsia="zh-CN"/>
              </w:rPr>
              <w:t>月</w:t>
            </w:r>
            <w:r>
              <w:rPr>
                <w:rFonts w:hint="eastAsia"/>
                <w:lang w:val="en-US" w:eastAsia="zh-CN"/>
              </w:rPr>
              <w:t>9</w:t>
            </w:r>
            <w:r>
              <w:rPr>
                <w:rFonts w:hint="default"/>
                <w:lang w:val="en-US" w:eastAsia="zh-CN"/>
              </w:rPr>
              <w:t>日至2020年</w:t>
            </w:r>
            <w:r>
              <w:rPr>
                <w:rFonts w:hint="eastAsia"/>
                <w:lang w:val="en-US" w:eastAsia="zh-CN"/>
              </w:rPr>
              <w:t>11</w:t>
            </w:r>
            <w:r>
              <w:rPr>
                <w:rFonts w:hint="default"/>
                <w:lang w:val="en-US" w:eastAsia="zh-CN"/>
              </w:rPr>
              <w:t>月</w:t>
            </w:r>
            <w:r>
              <w:rPr>
                <w:rFonts w:hint="eastAsia"/>
                <w:lang w:val="en-US" w:eastAsia="zh-CN"/>
              </w:rPr>
              <w:t>15</w:t>
            </w:r>
            <w:r>
              <w:rPr>
                <w:rFonts w:hint="default"/>
                <w:lang w:val="en-US" w:eastAsia="zh-CN"/>
              </w:rPr>
              <w:t>日对凤凰县人防地面应急指挥中心建设项目进行了</w:t>
            </w:r>
            <w:r>
              <w:rPr>
                <w:rFonts w:hint="eastAsia"/>
                <w:lang w:val="en-US" w:eastAsia="zh-CN"/>
              </w:rPr>
              <w:t>环境空气质量现状</w:t>
            </w:r>
            <w:r>
              <w:rPr>
                <w:rFonts w:hint="default"/>
                <w:lang w:val="en-US" w:eastAsia="zh-CN"/>
              </w:rPr>
              <w:t>监测，监测项目为</w:t>
            </w:r>
            <w:r>
              <w:rPr>
                <w:rFonts w:hint="eastAsia"/>
                <w:lang w:val="en-US" w:eastAsia="zh-CN"/>
              </w:rPr>
              <w:t>氨、臭气浓度、颗粒物、硫化氢</w:t>
            </w:r>
            <w:r>
              <w:rPr>
                <w:rFonts w:hint="default"/>
                <w:lang w:val="en-US" w:eastAsia="zh-CN"/>
              </w:rPr>
              <w:t>，监测数据详见表3-</w:t>
            </w:r>
            <w:r>
              <w:rPr>
                <w:rFonts w:hint="eastAsia"/>
                <w:lang w:val="en-US" w:eastAsia="zh-CN"/>
              </w:rPr>
              <w:t>2</w:t>
            </w:r>
            <w:r>
              <w:rPr>
                <w:rFonts w:hint="default"/>
                <w:lang w:val="en-US" w:eastAsia="zh-CN"/>
              </w:rPr>
              <w:t>。</w:t>
            </w:r>
          </w:p>
          <w:p>
            <w:pPr>
              <w:snapToGrid w:val="0"/>
              <w:spacing w:line="240" w:lineRule="auto"/>
              <w:ind w:firstLine="0" w:firstLineChars="0"/>
              <w:jc w:val="center"/>
              <w:rPr>
                <w:rFonts w:hint="default" w:ascii="Times New Roman" w:hAnsi="Times New Roman" w:cs="Times New Roman"/>
                <w:u w:val="none"/>
              </w:rPr>
            </w:pPr>
            <w:r>
              <w:rPr>
                <w:rFonts w:hint="default" w:ascii="Times New Roman" w:hAnsi="Times New Roman" w:cs="Times New Roman"/>
                <w:b/>
                <w:sz w:val="21"/>
                <w:szCs w:val="21"/>
                <w:u w:val="none"/>
                <w:lang w:val="zh-CN"/>
              </w:rPr>
              <w:t>表</w:t>
            </w:r>
            <w:r>
              <w:rPr>
                <w:rFonts w:hint="default" w:ascii="Times New Roman" w:hAnsi="Times New Roman" w:cs="Times New Roman"/>
                <w:b/>
                <w:sz w:val="21"/>
                <w:szCs w:val="21"/>
                <w:u w:val="none"/>
              </w:rPr>
              <w:t>3</w:t>
            </w:r>
            <w:r>
              <w:rPr>
                <w:rFonts w:hint="eastAsia" w:ascii="Times New Roman" w:hAnsi="Times New Roman" w:cs="Times New Roman"/>
                <w:b/>
                <w:sz w:val="21"/>
                <w:szCs w:val="21"/>
                <w:u w:val="none"/>
                <w:lang w:val="en-US" w:eastAsia="zh-CN"/>
              </w:rPr>
              <w:t>-2</w:t>
            </w:r>
            <w:r>
              <w:rPr>
                <w:rFonts w:hint="default" w:ascii="Times New Roman" w:hAnsi="Times New Roman" w:cs="Times New Roman"/>
                <w:b/>
                <w:sz w:val="21"/>
                <w:szCs w:val="21"/>
                <w:u w:val="none"/>
                <w:lang w:val="zh-CN"/>
              </w:rPr>
              <w:t xml:space="preserve">  </w:t>
            </w:r>
            <w:r>
              <w:rPr>
                <w:rFonts w:hint="eastAsia" w:ascii="Times New Roman" w:hAnsi="Times New Roman" w:cs="Times New Roman"/>
                <w:b/>
                <w:sz w:val="21"/>
                <w:szCs w:val="21"/>
                <w:u w:val="none"/>
                <w:lang w:val="zh-CN"/>
              </w:rPr>
              <w:t>特征污染因子环境空气质量现状</w:t>
            </w:r>
            <w:r>
              <w:rPr>
                <w:rFonts w:hint="default" w:ascii="Times New Roman" w:hAnsi="Times New Roman" w:cs="Times New Roman"/>
                <w:b/>
                <w:sz w:val="21"/>
                <w:szCs w:val="21"/>
                <w:u w:val="none"/>
                <w:lang w:val="zh-CN"/>
              </w:rPr>
              <w:t>监测结果表    单位：μg/m</w:t>
            </w:r>
            <w:r>
              <w:rPr>
                <w:rFonts w:hint="default" w:ascii="Times New Roman" w:hAnsi="Times New Roman" w:cs="Times New Roman"/>
                <w:b/>
                <w:sz w:val="21"/>
                <w:szCs w:val="21"/>
                <w:u w:val="none"/>
                <w:vertAlign w:val="superscript"/>
                <w:lang w:val="zh-CN"/>
              </w:rPr>
              <w:t>3</w:t>
            </w:r>
          </w:p>
          <w:tbl>
            <w:tblPr>
              <w:tblStyle w:val="31"/>
              <w:tblW w:w="835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350"/>
              <w:gridCol w:w="1260"/>
              <w:gridCol w:w="1725"/>
              <w:gridCol w:w="19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093" w:type="dxa"/>
                  <w:vMerge w:val="restart"/>
                  <w:noWrap w:val="0"/>
                  <w:vAlign w:val="center"/>
                </w:tcPr>
                <w:p>
                  <w:pPr>
                    <w:keepNext w:val="0"/>
                    <w:keepLines w:val="0"/>
                    <w:pageBreakBefore w:val="0"/>
                    <w:widowControl w:val="0"/>
                    <w:topLinePunct w:val="0"/>
                    <w:bidi w:val="0"/>
                    <w:snapToGrid/>
                    <w:spacing w:line="240" w:lineRule="auto"/>
                    <w:ind w:firstLine="0" w:firstLineChars="0"/>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监测点位监测结果</w:t>
                  </w:r>
                </w:p>
              </w:tc>
              <w:tc>
                <w:tcPr>
                  <w:tcW w:w="6266" w:type="dxa"/>
                  <w:gridSpan w:val="4"/>
                  <w:noWrap w:val="0"/>
                  <w:vAlign w:val="center"/>
                </w:tcPr>
                <w:p>
                  <w:pPr>
                    <w:keepNext w:val="0"/>
                    <w:keepLines w:val="0"/>
                    <w:pageBreakBefore w:val="0"/>
                    <w:widowControl w:val="0"/>
                    <w:topLinePunct w:val="0"/>
                    <w:bidi w:val="0"/>
                    <w:snapToGrid/>
                    <w:spacing w:line="240" w:lineRule="auto"/>
                    <w:ind w:firstLine="0" w:firstLineChars="0"/>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监测内容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093" w:type="dxa"/>
                  <w:vMerge w:val="continue"/>
                  <w:noWrap w:val="0"/>
                  <w:vAlign w:val="center"/>
                </w:tcPr>
                <w:p>
                  <w:pPr>
                    <w:keepNext w:val="0"/>
                    <w:keepLines w:val="0"/>
                    <w:pageBreakBefore w:val="0"/>
                    <w:widowControl w:val="0"/>
                    <w:topLinePunct w:val="0"/>
                    <w:bidi w:val="0"/>
                    <w:snapToGrid/>
                    <w:spacing w:line="240" w:lineRule="auto"/>
                    <w:ind w:firstLine="0" w:firstLineChars="0"/>
                    <w:jc w:val="center"/>
                    <w:textAlignment w:val="auto"/>
                    <w:rPr>
                      <w:rFonts w:hint="default" w:ascii="Times New Roman" w:hAnsi="Times New Roman" w:cs="Times New Roman"/>
                      <w:b/>
                      <w:sz w:val="21"/>
                      <w:szCs w:val="21"/>
                    </w:rPr>
                  </w:pPr>
                </w:p>
              </w:tc>
              <w:tc>
                <w:tcPr>
                  <w:tcW w:w="1350" w:type="dxa"/>
                  <w:noWrap w:val="0"/>
                  <w:vAlign w:val="center"/>
                </w:tcPr>
                <w:p>
                  <w:pPr>
                    <w:keepNext w:val="0"/>
                    <w:keepLines w:val="0"/>
                    <w:pageBreakBefore w:val="0"/>
                    <w:widowControl w:val="0"/>
                    <w:topLinePunct w:val="0"/>
                    <w:bidi w:val="0"/>
                    <w:snapToGrid/>
                    <w:spacing w:line="240" w:lineRule="auto"/>
                    <w:ind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color w:val="000000"/>
                      <w:sz w:val="21"/>
                      <w:szCs w:val="21"/>
                    </w:rPr>
                    <w:t>NH</w:t>
                  </w:r>
                  <w:r>
                    <w:rPr>
                      <w:rFonts w:hint="default" w:ascii="Times New Roman" w:hAnsi="Times New Roman" w:cs="Times New Roman"/>
                      <w:b/>
                      <w:bCs/>
                      <w:color w:val="000000"/>
                      <w:sz w:val="21"/>
                      <w:szCs w:val="21"/>
                      <w:vertAlign w:val="subscript"/>
                    </w:rPr>
                    <w:t>3</w:t>
                  </w:r>
                </w:p>
              </w:tc>
              <w:tc>
                <w:tcPr>
                  <w:tcW w:w="1260" w:type="dxa"/>
                  <w:noWrap w:val="0"/>
                  <w:vAlign w:val="center"/>
                </w:tcPr>
                <w:p>
                  <w:pPr>
                    <w:keepNext w:val="0"/>
                    <w:keepLines w:val="0"/>
                    <w:pageBreakBefore w:val="0"/>
                    <w:widowControl w:val="0"/>
                    <w:topLinePunct w:val="0"/>
                    <w:bidi w:val="0"/>
                    <w:snapToGrid/>
                    <w:spacing w:line="240" w:lineRule="auto"/>
                    <w:ind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color w:val="000000"/>
                      <w:sz w:val="21"/>
                      <w:szCs w:val="21"/>
                    </w:rPr>
                    <w:t>H</w:t>
                  </w:r>
                  <w:r>
                    <w:rPr>
                      <w:rFonts w:hint="default" w:ascii="Times New Roman" w:hAnsi="Times New Roman" w:cs="Times New Roman"/>
                      <w:b/>
                      <w:bCs/>
                      <w:color w:val="000000"/>
                      <w:sz w:val="21"/>
                      <w:szCs w:val="21"/>
                      <w:vertAlign w:val="subscript"/>
                    </w:rPr>
                    <w:t>2</w:t>
                  </w:r>
                  <w:r>
                    <w:rPr>
                      <w:rFonts w:hint="default" w:ascii="Times New Roman" w:hAnsi="Times New Roman" w:cs="Times New Roman"/>
                      <w:b/>
                      <w:bCs/>
                      <w:color w:val="000000"/>
                      <w:sz w:val="21"/>
                      <w:szCs w:val="21"/>
                    </w:rPr>
                    <w:t>S</w:t>
                  </w:r>
                </w:p>
              </w:tc>
              <w:tc>
                <w:tcPr>
                  <w:tcW w:w="1725" w:type="dxa"/>
                  <w:noWrap w:val="0"/>
                  <w:vAlign w:val="center"/>
                </w:tcPr>
                <w:p>
                  <w:pPr>
                    <w:keepNext w:val="0"/>
                    <w:keepLines w:val="0"/>
                    <w:pageBreakBefore w:val="0"/>
                    <w:widowControl w:val="0"/>
                    <w:topLinePunct w:val="0"/>
                    <w:bidi w:val="0"/>
                    <w:snapToGrid/>
                    <w:spacing w:line="240" w:lineRule="auto"/>
                    <w:ind w:firstLine="0" w:firstLineChars="0"/>
                    <w:jc w:val="center"/>
                    <w:textAlignment w:val="auto"/>
                    <w:rPr>
                      <w:rFonts w:hint="default" w:ascii="Times New Roman" w:hAnsi="Times New Roman" w:eastAsia="宋体" w:cs="Times New Roman"/>
                      <w:b/>
                      <w:bCs/>
                      <w:color w:val="000000"/>
                      <w:sz w:val="21"/>
                      <w:szCs w:val="21"/>
                      <w:lang w:eastAsia="zh-CN"/>
                    </w:rPr>
                  </w:pPr>
                  <w:r>
                    <w:rPr>
                      <w:rFonts w:hint="default" w:ascii="Times New Roman" w:hAnsi="Times New Roman" w:cs="Times New Roman"/>
                      <w:b/>
                      <w:bCs/>
                      <w:color w:val="000000"/>
                      <w:sz w:val="21"/>
                      <w:szCs w:val="21"/>
                      <w:lang w:eastAsia="zh-CN"/>
                    </w:rPr>
                    <w:t>臭气浓度</w:t>
                  </w:r>
                </w:p>
              </w:tc>
              <w:tc>
                <w:tcPr>
                  <w:tcW w:w="1931" w:type="dxa"/>
                  <w:noWrap w:val="0"/>
                  <w:vAlign w:val="center"/>
                </w:tcPr>
                <w:p>
                  <w:pPr>
                    <w:keepNext w:val="0"/>
                    <w:keepLines w:val="0"/>
                    <w:pageBreakBefore w:val="0"/>
                    <w:widowControl w:val="0"/>
                    <w:topLinePunct w:val="0"/>
                    <w:bidi w:val="0"/>
                    <w:snapToGrid/>
                    <w:spacing w:line="240" w:lineRule="auto"/>
                    <w:ind w:firstLine="0" w:firstLineChars="0"/>
                    <w:jc w:val="center"/>
                    <w:textAlignment w:val="auto"/>
                    <w:rPr>
                      <w:rFonts w:hint="default" w:ascii="Times New Roman" w:hAnsi="Times New Roman"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TSP</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093" w:type="dxa"/>
                  <w:noWrap w:val="0"/>
                  <w:vAlign w:val="center"/>
                </w:tcPr>
                <w:p>
                  <w:pPr>
                    <w:pStyle w:val="62"/>
                    <w:keepNext w:val="0"/>
                    <w:keepLines w:val="0"/>
                    <w:pageBreakBefore w:val="0"/>
                    <w:widowControl w:val="0"/>
                    <w:topLinePunct w:val="0"/>
                    <w:bidi w:val="0"/>
                    <w:snapToGrid/>
                    <w:spacing w:line="240" w:lineRule="auto"/>
                    <w:ind w:firstLine="0" w:firstLineChars="0"/>
                    <w:textAlignment w:val="auto"/>
                    <w:rPr>
                      <w:rFonts w:hint="default" w:ascii="Times New Roman" w:hAnsi="Times New Roman" w:cs="Times New Roman"/>
                      <w:b/>
                      <w:sz w:val="21"/>
                      <w:szCs w:val="21"/>
                    </w:rPr>
                  </w:pPr>
                  <w:r>
                    <w:rPr>
                      <w:rFonts w:hint="default" w:ascii="Times New Roman" w:hAnsi="Times New Roman" w:cs="Times New Roman"/>
                      <w:sz w:val="21"/>
                      <w:szCs w:val="21"/>
                      <w:lang w:val="en-US" w:eastAsia="zh-CN"/>
                    </w:rPr>
                    <w:t>S1</w:t>
                  </w:r>
                </w:p>
              </w:tc>
              <w:tc>
                <w:tcPr>
                  <w:tcW w:w="1350" w:type="dxa"/>
                  <w:noWrap w:val="0"/>
                  <w:vAlign w:val="center"/>
                </w:tcPr>
                <w:p>
                  <w:pPr>
                    <w:keepNext w:val="0"/>
                    <w:keepLines w:val="0"/>
                    <w:pageBreakBefore w:val="0"/>
                    <w:widowControl w:val="0"/>
                    <w:topLinePunct w:val="0"/>
                    <w:bidi w:val="0"/>
                    <w:snapToGrid/>
                    <w:spacing w:line="240" w:lineRule="auto"/>
                    <w:ind w:firstLine="0" w:firstLine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70</w:t>
                  </w:r>
                  <w:r>
                    <w:rPr>
                      <w:rFonts w:hint="default" w:ascii="Times New Roman" w:hAnsi="Times New Roman" w:cs="Times New Roman"/>
                      <w:bCs/>
                      <w:sz w:val="21"/>
                      <w:szCs w:val="21"/>
                    </w:rPr>
                    <w:t>~</w:t>
                  </w:r>
                  <w:r>
                    <w:rPr>
                      <w:rFonts w:hint="default" w:ascii="Times New Roman" w:hAnsi="Times New Roman" w:cs="Times New Roman"/>
                      <w:bCs/>
                      <w:sz w:val="21"/>
                      <w:szCs w:val="21"/>
                      <w:lang w:val="en-US" w:eastAsia="zh-CN"/>
                    </w:rPr>
                    <w:t>80</w:t>
                  </w:r>
                </w:p>
              </w:tc>
              <w:tc>
                <w:tcPr>
                  <w:tcW w:w="1260" w:type="dxa"/>
                  <w:noWrap w:val="0"/>
                  <w:vAlign w:val="center"/>
                </w:tcPr>
                <w:p>
                  <w:pPr>
                    <w:keepNext w:val="0"/>
                    <w:keepLines w:val="0"/>
                    <w:pageBreakBefore w:val="0"/>
                    <w:widowControl w:val="0"/>
                    <w:topLinePunct w:val="0"/>
                    <w:bidi w:val="0"/>
                    <w:snapToGrid/>
                    <w:spacing w:line="240" w:lineRule="auto"/>
                    <w:ind w:firstLine="0" w:firstLineChars="0"/>
                    <w:jc w:val="center"/>
                    <w:textAlignment w:val="auto"/>
                    <w:rPr>
                      <w:rFonts w:hint="default" w:ascii="Times New Roman" w:hAnsi="Times New Roman" w:eastAsia="宋体" w:cs="Times New Roman"/>
                      <w:bCs/>
                      <w:sz w:val="21"/>
                      <w:szCs w:val="21"/>
                      <w:lang w:eastAsia="zh-CN"/>
                    </w:rPr>
                  </w:pPr>
                  <w:r>
                    <w:rPr>
                      <w:rFonts w:hint="default" w:ascii="Times New Roman" w:hAnsi="Times New Roman" w:cs="Times New Roman"/>
                      <w:bCs/>
                      <w:sz w:val="21"/>
                      <w:szCs w:val="21"/>
                      <w:lang w:val="en-US" w:eastAsia="zh-CN"/>
                    </w:rPr>
                    <w:t>5</w:t>
                  </w:r>
                  <w:r>
                    <w:rPr>
                      <w:rFonts w:hint="default" w:ascii="Times New Roman" w:hAnsi="Times New Roman" w:cs="Times New Roman"/>
                      <w:bCs/>
                      <w:sz w:val="21"/>
                      <w:szCs w:val="21"/>
                    </w:rPr>
                    <w:t>~</w:t>
                  </w:r>
                  <w:r>
                    <w:rPr>
                      <w:rFonts w:hint="default" w:ascii="Times New Roman" w:hAnsi="Times New Roman" w:cs="Times New Roman"/>
                      <w:bCs/>
                      <w:sz w:val="21"/>
                      <w:szCs w:val="21"/>
                      <w:lang w:val="en-US" w:eastAsia="zh-CN"/>
                    </w:rPr>
                    <w:t>7</w:t>
                  </w:r>
                </w:p>
              </w:tc>
              <w:tc>
                <w:tcPr>
                  <w:tcW w:w="1725" w:type="dxa"/>
                  <w:noWrap w:val="0"/>
                  <w:vAlign w:val="center"/>
                </w:tcPr>
                <w:p>
                  <w:pPr>
                    <w:keepNext w:val="0"/>
                    <w:keepLines w:val="0"/>
                    <w:pageBreakBefore w:val="0"/>
                    <w:widowControl w:val="0"/>
                    <w:topLinePunct w:val="0"/>
                    <w:bidi w:val="0"/>
                    <w:snapToGrid/>
                    <w:spacing w:line="240" w:lineRule="auto"/>
                    <w:ind w:firstLine="0" w:firstLine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11</w:t>
                  </w:r>
                  <w:r>
                    <w:rPr>
                      <w:rFonts w:hint="default" w:ascii="Times New Roman" w:hAnsi="Times New Roman" w:cs="Times New Roman"/>
                      <w:bCs/>
                      <w:sz w:val="21"/>
                      <w:szCs w:val="21"/>
                    </w:rPr>
                    <w:t>~</w:t>
                  </w:r>
                  <w:r>
                    <w:rPr>
                      <w:rFonts w:hint="default" w:ascii="Times New Roman" w:hAnsi="Times New Roman" w:cs="Times New Roman"/>
                      <w:bCs/>
                      <w:sz w:val="21"/>
                      <w:szCs w:val="21"/>
                      <w:lang w:val="en-US" w:eastAsia="zh-CN"/>
                    </w:rPr>
                    <w:t>13</w:t>
                  </w:r>
                </w:p>
              </w:tc>
              <w:tc>
                <w:tcPr>
                  <w:tcW w:w="1931" w:type="dxa"/>
                  <w:noWrap w:val="0"/>
                  <w:vAlign w:val="center"/>
                </w:tcPr>
                <w:p>
                  <w:pPr>
                    <w:keepNext w:val="0"/>
                    <w:keepLines w:val="0"/>
                    <w:pageBreakBefore w:val="0"/>
                    <w:widowControl w:val="0"/>
                    <w:topLinePunct w:val="0"/>
                    <w:bidi w:val="0"/>
                    <w:snapToGrid/>
                    <w:spacing w:line="240" w:lineRule="auto"/>
                    <w:ind w:firstLine="0" w:firstLine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102</w:t>
                  </w:r>
                  <w:r>
                    <w:rPr>
                      <w:rFonts w:hint="default" w:ascii="Times New Roman" w:hAnsi="Times New Roman" w:cs="Times New Roman"/>
                      <w:bCs/>
                      <w:sz w:val="21"/>
                      <w:szCs w:val="21"/>
                    </w:rPr>
                    <w:t>~</w:t>
                  </w:r>
                  <w:r>
                    <w:rPr>
                      <w:rFonts w:hint="default" w:ascii="Times New Roman" w:hAnsi="Times New Roman" w:cs="Times New Roman"/>
                      <w:bCs/>
                      <w:sz w:val="21"/>
                      <w:szCs w:val="21"/>
                      <w:lang w:val="en-US" w:eastAsia="zh-CN"/>
                    </w:rPr>
                    <w:t>112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093" w:type="dxa"/>
                  <w:noWrap w:val="0"/>
                  <w:vAlign w:val="center"/>
                </w:tcPr>
                <w:p>
                  <w:pPr>
                    <w:pStyle w:val="62"/>
                    <w:keepNext w:val="0"/>
                    <w:keepLines w:val="0"/>
                    <w:pageBreakBefore w:val="0"/>
                    <w:widowControl w:val="0"/>
                    <w:topLinePunct w:val="0"/>
                    <w:bidi w:val="0"/>
                    <w:snapToGrid/>
                    <w:spacing w:line="240" w:lineRule="auto"/>
                    <w:ind w:firstLine="0" w:firstLineChars="0"/>
                    <w:textAlignment w:val="auto"/>
                    <w:rPr>
                      <w:rFonts w:hint="default" w:ascii="Times New Roman" w:hAnsi="Times New Roman" w:cs="Times New Roman"/>
                      <w:b/>
                      <w:sz w:val="21"/>
                      <w:szCs w:val="21"/>
                    </w:rPr>
                  </w:pPr>
                  <w:r>
                    <w:rPr>
                      <w:rFonts w:hint="default" w:ascii="Times New Roman" w:hAnsi="Times New Roman" w:cs="Times New Roman"/>
                      <w:sz w:val="21"/>
                      <w:szCs w:val="21"/>
                      <w:lang w:val="en-US" w:eastAsia="zh-CN"/>
                    </w:rPr>
                    <w:t>S2</w:t>
                  </w:r>
                </w:p>
              </w:tc>
              <w:tc>
                <w:tcPr>
                  <w:tcW w:w="1350" w:type="dxa"/>
                  <w:noWrap w:val="0"/>
                  <w:vAlign w:val="center"/>
                </w:tcPr>
                <w:p>
                  <w:pPr>
                    <w:keepNext w:val="0"/>
                    <w:keepLines w:val="0"/>
                    <w:pageBreakBefore w:val="0"/>
                    <w:widowControl w:val="0"/>
                    <w:topLinePunct w:val="0"/>
                    <w:bidi w:val="0"/>
                    <w:snapToGrid/>
                    <w:spacing w:line="240" w:lineRule="auto"/>
                    <w:ind w:firstLine="0" w:firstLine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50</w:t>
                  </w:r>
                  <w:r>
                    <w:rPr>
                      <w:rFonts w:hint="default" w:ascii="Times New Roman" w:hAnsi="Times New Roman" w:cs="Times New Roman"/>
                      <w:bCs/>
                      <w:sz w:val="21"/>
                      <w:szCs w:val="21"/>
                    </w:rPr>
                    <w:t>~</w:t>
                  </w:r>
                  <w:r>
                    <w:rPr>
                      <w:rFonts w:hint="default" w:ascii="Times New Roman" w:hAnsi="Times New Roman" w:cs="Times New Roman"/>
                      <w:bCs/>
                      <w:sz w:val="21"/>
                      <w:szCs w:val="21"/>
                      <w:lang w:val="en-US" w:eastAsia="zh-CN"/>
                    </w:rPr>
                    <w:t>70</w:t>
                  </w:r>
                </w:p>
              </w:tc>
              <w:tc>
                <w:tcPr>
                  <w:tcW w:w="1260" w:type="dxa"/>
                  <w:noWrap w:val="0"/>
                  <w:vAlign w:val="center"/>
                </w:tcPr>
                <w:p>
                  <w:pPr>
                    <w:keepNext w:val="0"/>
                    <w:keepLines w:val="0"/>
                    <w:pageBreakBefore w:val="0"/>
                    <w:widowControl w:val="0"/>
                    <w:topLinePunct w:val="0"/>
                    <w:bidi w:val="0"/>
                    <w:snapToGrid/>
                    <w:spacing w:line="240" w:lineRule="auto"/>
                    <w:ind w:firstLine="0" w:firstLineChars="0"/>
                    <w:jc w:val="center"/>
                    <w:textAlignment w:val="auto"/>
                    <w:rPr>
                      <w:rFonts w:hint="default" w:ascii="Times New Roman" w:hAnsi="Times New Roman" w:eastAsia="宋体" w:cs="Times New Roman"/>
                      <w:bCs/>
                      <w:sz w:val="21"/>
                      <w:szCs w:val="21"/>
                      <w:lang w:eastAsia="zh-CN"/>
                    </w:rPr>
                  </w:pPr>
                  <w:r>
                    <w:rPr>
                      <w:rFonts w:hint="default" w:ascii="Times New Roman" w:hAnsi="Times New Roman" w:cs="Times New Roman"/>
                      <w:bCs/>
                      <w:sz w:val="21"/>
                      <w:szCs w:val="21"/>
                      <w:lang w:val="en-US" w:eastAsia="zh-CN"/>
                    </w:rPr>
                    <w:t>5</w:t>
                  </w:r>
                  <w:r>
                    <w:rPr>
                      <w:rFonts w:hint="default" w:ascii="Times New Roman" w:hAnsi="Times New Roman" w:cs="Times New Roman"/>
                      <w:bCs/>
                      <w:sz w:val="21"/>
                      <w:szCs w:val="21"/>
                    </w:rPr>
                    <w:t>~</w:t>
                  </w:r>
                  <w:r>
                    <w:rPr>
                      <w:rFonts w:hint="default" w:ascii="Times New Roman" w:hAnsi="Times New Roman" w:cs="Times New Roman"/>
                      <w:bCs/>
                      <w:sz w:val="21"/>
                      <w:szCs w:val="21"/>
                      <w:lang w:val="en-US" w:eastAsia="zh-CN"/>
                    </w:rPr>
                    <w:t>6</w:t>
                  </w:r>
                </w:p>
              </w:tc>
              <w:tc>
                <w:tcPr>
                  <w:tcW w:w="1725" w:type="dxa"/>
                  <w:noWrap w:val="0"/>
                  <w:vAlign w:val="center"/>
                </w:tcPr>
                <w:p>
                  <w:pPr>
                    <w:keepNext w:val="0"/>
                    <w:keepLines w:val="0"/>
                    <w:pageBreakBefore w:val="0"/>
                    <w:widowControl w:val="0"/>
                    <w:topLinePunct w:val="0"/>
                    <w:bidi w:val="0"/>
                    <w:snapToGrid/>
                    <w:spacing w:line="240" w:lineRule="auto"/>
                    <w:ind w:firstLine="0" w:firstLine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11</w:t>
                  </w:r>
                  <w:r>
                    <w:rPr>
                      <w:rFonts w:hint="default" w:ascii="Times New Roman" w:hAnsi="Times New Roman" w:cs="Times New Roman"/>
                      <w:bCs/>
                      <w:sz w:val="21"/>
                      <w:szCs w:val="21"/>
                    </w:rPr>
                    <w:t>~</w:t>
                  </w:r>
                  <w:r>
                    <w:rPr>
                      <w:rFonts w:hint="default" w:ascii="Times New Roman" w:hAnsi="Times New Roman" w:cs="Times New Roman"/>
                      <w:bCs/>
                      <w:sz w:val="21"/>
                      <w:szCs w:val="21"/>
                      <w:lang w:val="en-US" w:eastAsia="zh-CN"/>
                    </w:rPr>
                    <w:t>12</w:t>
                  </w:r>
                </w:p>
              </w:tc>
              <w:tc>
                <w:tcPr>
                  <w:tcW w:w="1931" w:type="dxa"/>
                  <w:noWrap w:val="0"/>
                  <w:vAlign w:val="center"/>
                </w:tcPr>
                <w:p>
                  <w:pPr>
                    <w:keepNext w:val="0"/>
                    <w:keepLines w:val="0"/>
                    <w:pageBreakBefore w:val="0"/>
                    <w:widowControl w:val="0"/>
                    <w:topLinePunct w:val="0"/>
                    <w:bidi w:val="0"/>
                    <w:snapToGrid/>
                    <w:spacing w:line="240" w:lineRule="auto"/>
                    <w:ind w:firstLine="0" w:firstLineChars="0"/>
                    <w:jc w:val="center"/>
                    <w:textAlignment w:val="auto"/>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102</w:t>
                  </w:r>
                  <w:r>
                    <w:rPr>
                      <w:rFonts w:hint="default" w:ascii="Times New Roman" w:hAnsi="Times New Roman" w:cs="Times New Roman"/>
                      <w:bCs/>
                      <w:sz w:val="21"/>
                      <w:szCs w:val="21"/>
                    </w:rPr>
                    <w:t>~</w:t>
                  </w:r>
                  <w:r>
                    <w:rPr>
                      <w:rFonts w:hint="default" w:ascii="Times New Roman" w:hAnsi="Times New Roman" w:cs="Times New Roman"/>
                      <w:bCs/>
                      <w:sz w:val="21"/>
                      <w:szCs w:val="21"/>
                      <w:lang w:val="en-US" w:eastAsia="zh-CN"/>
                    </w:rPr>
                    <w:t>112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093" w:type="dxa"/>
                  <w:noWrap w:val="0"/>
                  <w:vAlign w:val="center"/>
                </w:tcPr>
                <w:p>
                  <w:pPr>
                    <w:pStyle w:val="61"/>
                    <w:keepNext w:val="0"/>
                    <w:keepLines w:val="0"/>
                    <w:pageBreakBefore w:val="0"/>
                    <w:widowControl w:val="0"/>
                    <w:topLinePunct w:val="0"/>
                    <w:bidi w:val="0"/>
                    <w:snapToGrid/>
                    <w:spacing w:line="240" w:lineRule="auto"/>
                    <w:ind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标准值</w:t>
                  </w:r>
                </w:p>
              </w:tc>
              <w:tc>
                <w:tcPr>
                  <w:tcW w:w="1350" w:type="dxa"/>
                  <w:noWrap w:val="0"/>
                  <w:vAlign w:val="center"/>
                </w:tcPr>
                <w:p>
                  <w:pPr>
                    <w:keepNext w:val="0"/>
                    <w:keepLines w:val="0"/>
                    <w:pageBreakBefore w:val="0"/>
                    <w:widowControl w:val="0"/>
                    <w:topLinePunct w:val="0"/>
                    <w:bidi w:val="0"/>
                    <w:snapToGrid/>
                    <w:spacing w:line="240" w:lineRule="auto"/>
                    <w:ind w:firstLine="0" w:firstLineChars="0"/>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20</w:t>
                  </w:r>
                  <w:r>
                    <w:rPr>
                      <w:rFonts w:hint="eastAsia" w:ascii="Times New Roman" w:hAnsi="Times New Roman" w:cs="Times New Roman"/>
                      <w:bCs/>
                      <w:sz w:val="21"/>
                      <w:szCs w:val="21"/>
                      <w:lang w:val="en-US" w:eastAsia="zh-CN"/>
                    </w:rPr>
                    <w:t>0</w:t>
                  </w:r>
                </w:p>
              </w:tc>
              <w:tc>
                <w:tcPr>
                  <w:tcW w:w="1260" w:type="dxa"/>
                  <w:noWrap w:val="0"/>
                  <w:vAlign w:val="center"/>
                </w:tcPr>
                <w:p>
                  <w:pPr>
                    <w:keepNext w:val="0"/>
                    <w:keepLines w:val="0"/>
                    <w:pageBreakBefore w:val="0"/>
                    <w:widowControl w:val="0"/>
                    <w:topLinePunct w:val="0"/>
                    <w:bidi w:val="0"/>
                    <w:snapToGrid/>
                    <w:spacing w:line="240" w:lineRule="auto"/>
                    <w:ind w:firstLine="0" w:firstLineChars="0"/>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val="en-US" w:eastAsia="zh-CN"/>
                    </w:rPr>
                    <w:t>1</w:t>
                  </w:r>
                  <w:r>
                    <w:rPr>
                      <w:rFonts w:hint="default" w:ascii="Times New Roman" w:hAnsi="Times New Roman" w:cs="Times New Roman"/>
                      <w:bCs/>
                      <w:sz w:val="21"/>
                      <w:szCs w:val="21"/>
                    </w:rPr>
                    <w:t>0</w:t>
                  </w:r>
                </w:p>
              </w:tc>
              <w:tc>
                <w:tcPr>
                  <w:tcW w:w="1725" w:type="dxa"/>
                  <w:noWrap w:val="0"/>
                  <w:vAlign w:val="center"/>
                </w:tcPr>
                <w:p>
                  <w:pPr>
                    <w:keepNext w:val="0"/>
                    <w:keepLines w:val="0"/>
                    <w:pageBreakBefore w:val="0"/>
                    <w:widowControl w:val="0"/>
                    <w:topLinePunct w:val="0"/>
                    <w:bidi w:val="0"/>
                    <w:snapToGrid/>
                    <w:spacing w:line="240" w:lineRule="auto"/>
                    <w:ind w:firstLine="0" w:firstLine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w:t>
                  </w:r>
                </w:p>
              </w:tc>
              <w:tc>
                <w:tcPr>
                  <w:tcW w:w="1931" w:type="dxa"/>
                  <w:noWrap w:val="0"/>
                  <w:vAlign w:val="center"/>
                </w:tcPr>
                <w:p>
                  <w:pPr>
                    <w:keepNext w:val="0"/>
                    <w:keepLines w:val="0"/>
                    <w:pageBreakBefore w:val="0"/>
                    <w:widowControl w:val="0"/>
                    <w:topLinePunct w:val="0"/>
                    <w:bidi w:val="0"/>
                    <w:snapToGrid/>
                    <w:spacing w:line="240" w:lineRule="auto"/>
                    <w:ind w:firstLine="0" w:firstLineChars="0"/>
                    <w:jc w:val="center"/>
                    <w:textAlignment w:val="auto"/>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093" w:type="dxa"/>
                  <w:noWrap w:val="0"/>
                  <w:vAlign w:val="center"/>
                </w:tcPr>
                <w:p>
                  <w:pPr>
                    <w:pStyle w:val="61"/>
                    <w:keepNext w:val="0"/>
                    <w:keepLines w:val="0"/>
                    <w:pageBreakBefore w:val="0"/>
                    <w:widowControl w:val="0"/>
                    <w:topLinePunct w:val="0"/>
                    <w:bidi w:val="0"/>
                    <w:snapToGrid/>
                    <w:spacing w:line="240" w:lineRule="auto"/>
                    <w:ind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达标情况</w:t>
                  </w:r>
                </w:p>
              </w:tc>
              <w:tc>
                <w:tcPr>
                  <w:tcW w:w="1350" w:type="dxa"/>
                  <w:noWrap w:val="0"/>
                  <w:vAlign w:val="center"/>
                </w:tcPr>
                <w:p>
                  <w:pPr>
                    <w:keepNext w:val="0"/>
                    <w:keepLines w:val="0"/>
                    <w:pageBreakBefore w:val="0"/>
                    <w:widowControl w:val="0"/>
                    <w:topLinePunct w:val="0"/>
                    <w:bidi w:val="0"/>
                    <w:snapToGrid/>
                    <w:spacing w:line="240" w:lineRule="auto"/>
                    <w:ind w:firstLine="0" w:firstLine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达标</w:t>
                  </w:r>
                </w:p>
              </w:tc>
              <w:tc>
                <w:tcPr>
                  <w:tcW w:w="1260" w:type="dxa"/>
                  <w:noWrap w:val="0"/>
                  <w:vAlign w:val="center"/>
                </w:tcPr>
                <w:p>
                  <w:pPr>
                    <w:keepNext w:val="0"/>
                    <w:keepLines w:val="0"/>
                    <w:pageBreakBefore w:val="0"/>
                    <w:widowControl w:val="0"/>
                    <w:topLinePunct w:val="0"/>
                    <w:bidi w:val="0"/>
                    <w:snapToGrid/>
                    <w:spacing w:line="240" w:lineRule="auto"/>
                    <w:ind w:firstLine="0" w:firstLine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达标</w:t>
                  </w:r>
                </w:p>
              </w:tc>
              <w:tc>
                <w:tcPr>
                  <w:tcW w:w="1725" w:type="dxa"/>
                  <w:noWrap w:val="0"/>
                  <w:vAlign w:val="center"/>
                </w:tcPr>
                <w:p>
                  <w:pPr>
                    <w:keepNext w:val="0"/>
                    <w:keepLines w:val="0"/>
                    <w:pageBreakBefore w:val="0"/>
                    <w:widowControl w:val="0"/>
                    <w:topLinePunct w:val="0"/>
                    <w:bidi w:val="0"/>
                    <w:snapToGrid/>
                    <w:spacing w:line="240" w:lineRule="auto"/>
                    <w:ind w:firstLine="0" w:firstLineChars="0"/>
                    <w:jc w:val="center"/>
                    <w:textAlignment w:val="auto"/>
                    <w:rPr>
                      <w:rFonts w:hint="eastAsia"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w:t>
                  </w:r>
                </w:p>
              </w:tc>
              <w:tc>
                <w:tcPr>
                  <w:tcW w:w="1931" w:type="dxa"/>
                  <w:noWrap w:val="0"/>
                  <w:vAlign w:val="center"/>
                </w:tcPr>
                <w:p>
                  <w:pPr>
                    <w:keepNext w:val="0"/>
                    <w:keepLines w:val="0"/>
                    <w:pageBreakBefore w:val="0"/>
                    <w:widowControl w:val="0"/>
                    <w:topLinePunct w:val="0"/>
                    <w:bidi w:val="0"/>
                    <w:snapToGrid/>
                    <w:spacing w:line="240" w:lineRule="auto"/>
                    <w:ind w:firstLine="0" w:firstLine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达标</w:t>
                  </w:r>
                </w:p>
              </w:tc>
            </w:tr>
          </w:tbl>
          <w:p>
            <w:pPr>
              <w:keepNext w:val="0"/>
              <w:keepLines w:val="0"/>
              <w:pageBreakBefore w:val="0"/>
              <w:widowControl w:val="0"/>
              <w:kinsoku/>
              <w:wordWrap w:val="0"/>
              <w:overflowPunct/>
              <w:topLinePunct w:val="0"/>
              <w:autoSpaceDE w:val="0"/>
              <w:autoSpaceDN w:val="0"/>
              <w:bidi w:val="0"/>
              <w:adjustRightInd/>
              <w:snapToGrid/>
              <w:spacing w:before="0" w:beforeLines="5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由上表可知，H</w:t>
            </w:r>
            <w:r>
              <w:rPr>
                <w:rFonts w:hint="default" w:ascii="Times New Roman" w:hAnsi="Times New Roman" w:eastAsia="宋体" w:cs="Times New Roman"/>
                <w:sz w:val="24"/>
                <w:szCs w:val="24"/>
                <w:vertAlign w:val="subscript"/>
                <w:lang w:val="en-US" w:eastAsia="zh-CN"/>
              </w:rPr>
              <w:t>2</w:t>
            </w:r>
            <w:r>
              <w:rPr>
                <w:rFonts w:hint="default" w:ascii="Times New Roman" w:hAnsi="Times New Roman" w:eastAsia="宋体" w:cs="Times New Roman"/>
                <w:sz w:val="24"/>
                <w:szCs w:val="24"/>
                <w:lang w:val="en-US" w:eastAsia="zh-CN"/>
              </w:rPr>
              <w:t>S、NH</w:t>
            </w:r>
            <w:r>
              <w:rPr>
                <w:rFonts w:hint="default" w:ascii="Times New Roman" w:hAnsi="Times New Roman" w:eastAsia="宋体" w:cs="Times New Roman"/>
                <w:sz w:val="24"/>
                <w:szCs w:val="24"/>
                <w:vertAlign w:val="subscript"/>
                <w:lang w:val="en-US" w:eastAsia="zh-CN"/>
              </w:rPr>
              <w:t>3</w:t>
            </w:r>
            <w:r>
              <w:rPr>
                <w:rFonts w:hint="default" w:ascii="Times New Roman" w:hAnsi="Times New Roman" w:eastAsia="宋体" w:cs="Times New Roman"/>
                <w:sz w:val="24"/>
                <w:szCs w:val="24"/>
                <w:lang w:val="en-US" w:eastAsia="zh-CN"/>
              </w:rPr>
              <w:t>排放执行《环境影响评价技术导则大气环境》(HJ2.2-2018)附录D中其他污染物空气质量浓度参考限值，TSP可以达到《环境空气质量标准》(GB3095-2012)修改单的一级标准。项目环境空气质量良好。</w:t>
            </w:r>
          </w:p>
          <w:p>
            <w:pPr>
              <w:pStyle w:val="9"/>
              <w:spacing w:before="192" w:after="192"/>
            </w:pPr>
            <w:r>
              <w:rPr>
                <w:rFonts w:hint="eastAsia"/>
                <w:lang w:val="en-US" w:eastAsia="zh-CN"/>
              </w:rPr>
              <w:t xml:space="preserve">3.1.2 </w:t>
            </w:r>
            <w:r>
              <w:t>地表水环境质量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sz w:val="24"/>
                <w:szCs w:val="24"/>
              </w:rPr>
              <w:t>本环评根据湘西州环境主管部门</w:t>
            </w:r>
            <w:r>
              <w:rPr>
                <w:rFonts w:hint="eastAsia"/>
                <w:sz w:val="24"/>
                <w:szCs w:val="24"/>
                <w:lang w:val="en-US" w:eastAsia="zh-CN"/>
              </w:rPr>
              <w:t>2020年</w:t>
            </w:r>
            <w:r>
              <w:rPr>
                <w:rFonts w:hint="eastAsia"/>
                <w:sz w:val="24"/>
                <w:szCs w:val="24"/>
              </w:rPr>
              <w:t>发布的《湘西州地表水控制断面水质情况》中关于湘西州地表水环境质监测因子pH、溶解氧、高锰酸盐指数、化学需氧量、五日生化需氧量、氨氮、总磷、铜、锌、氟化</w:t>
            </w:r>
            <w:r>
              <w:rPr>
                <w:rFonts w:hint="default"/>
                <w:sz w:val="24"/>
                <w:szCs w:val="24"/>
              </w:rPr>
              <w:t>物、硒、砷、汞、镉、六价铬、铅、氰化物、挥发酚、石油类、阴离子表面活性剂、硫化物</w:t>
            </w:r>
            <w:r>
              <w:rPr>
                <w:rFonts w:hint="default"/>
                <w:sz w:val="24"/>
                <w:szCs w:val="24"/>
                <w:lang w:val="en-US" w:eastAsia="zh-CN"/>
              </w:rPr>
              <w:t>2020</w:t>
            </w:r>
            <w:r>
              <w:rPr>
                <w:rFonts w:hint="default"/>
                <w:sz w:val="24"/>
                <w:szCs w:val="24"/>
              </w:rPr>
              <w:t>年的</w:t>
            </w:r>
            <w:r>
              <w:rPr>
                <w:rFonts w:hint="eastAsia"/>
                <w:sz w:val="24"/>
                <w:szCs w:val="24"/>
              </w:rPr>
              <w:t>数据，对建设项目所在地区地表水环境质量现状进行分析，监测数据及达标情况详见表</w:t>
            </w:r>
            <w:r>
              <w:rPr>
                <w:rFonts w:hint="eastAsia"/>
                <w:sz w:val="24"/>
                <w:szCs w:val="24"/>
                <w:lang w:val="en-US" w:eastAsia="zh-CN"/>
              </w:rPr>
              <w:t>3-3</w:t>
            </w:r>
            <w:r>
              <w:rPr>
                <w:rFonts w:hint="eastAsia"/>
                <w:sz w:val="24"/>
                <w:szCs w:val="24"/>
              </w:rPr>
              <w:t>。</w:t>
            </w:r>
          </w:p>
          <w:p>
            <w:pPr>
              <w:pStyle w:val="43"/>
              <w:bidi w:val="0"/>
            </w:pPr>
            <w:r>
              <w:rPr>
                <w:rFonts w:hint="default"/>
              </w:rPr>
              <w:t>表</w:t>
            </w:r>
            <w:r>
              <w:rPr>
                <w:rFonts w:hint="eastAsia"/>
                <w:lang w:val="en-US" w:eastAsia="zh-CN"/>
              </w:rPr>
              <w:t>3-3</w:t>
            </w:r>
            <w:r>
              <w:rPr>
                <w:rFonts w:hint="default"/>
              </w:rPr>
              <w:t>：</w:t>
            </w:r>
            <w:r>
              <w:rPr>
                <w:rFonts w:hint="default"/>
                <w:lang w:val="en-US" w:eastAsia="zh-CN"/>
              </w:rPr>
              <w:t>2020</w:t>
            </w:r>
            <w:r>
              <w:rPr>
                <w:rFonts w:hint="default"/>
              </w:rPr>
              <w:t>年地表</w:t>
            </w:r>
            <w:r>
              <w:rPr>
                <w:rFonts w:hint="eastAsia"/>
              </w:rPr>
              <w:t>水断面均值结果及达标情况</w:t>
            </w:r>
          </w:p>
          <w:tbl>
            <w:tblPr>
              <w:tblStyle w:val="31"/>
              <w:tblW w:w="821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2474"/>
              <w:gridCol w:w="1541"/>
              <w:gridCol w:w="292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285" w:type="pct"/>
                  <w:gridSpan w:val="2"/>
                  <w:noWrap w:val="0"/>
                  <w:vAlign w:val="center"/>
                </w:tcPr>
                <w:p>
                  <w:pPr>
                    <w:pStyle w:val="38"/>
                    <w:bidi w:val="0"/>
                    <w:rPr>
                      <w:rFonts w:hint="default"/>
                    </w:rPr>
                  </w:pPr>
                  <w:bookmarkStart w:id="18" w:name="_Toc432257874"/>
                  <w:bookmarkStart w:id="19" w:name="_Toc432260498"/>
                  <w:bookmarkStart w:id="20" w:name="_Toc432262854"/>
                  <w:bookmarkStart w:id="21" w:name="_Toc517812462"/>
                  <w:r>
                    <w:rPr>
                      <w:rFonts w:hint="default"/>
                    </w:rPr>
                    <w:t>监测项目</w:t>
                  </w:r>
                  <w:bookmarkEnd w:id="18"/>
                  <w:bookmarkEnd w:id="19"/>
                  <w:bookmarkEnd w:id="20"/>
                  <w:bookmarkEnd w:id="21"/>
                </w:p>
              </w:tc>
              <w:tc>
                <w:tcPr>
                  <w:tcW w:w="937" w:type="pct"/>
                  <w:noWrap w:val="0"/>
                  <w:vAlign w:val="center"/>
                </w:tcPr>
                <w:p>
                  <w:pPr>
                    <w:pStyle w:val="38"/>
                    <w:bidi w:val="0"/>
                    <w:rPr>
                      <w:rFonts w:hint="default"/>
                    </w:rPr>
                  </w:pPr>
                  <w:r>
                    <w:rPr>
                      <w:rFonts w:hint="default"/>
                      <w:lang w:eastAsia="zh-CN"/>
                    </w:rPr>
                    <w:t>北园</w:t>
                  </w:r>
                  <w:r>
                    <w:rPr>
                      <w:rFonts w:hint="default"/>
                    </w:rPr>
                    <w:t>水厂</w:t>
                  </w:r>
                </w:p>
              </w:tc>
              <w:tc>
                <w:tcPr>
                  <w:tcW w:w="1777" w:type="pct"/>
                  <w:noWrap w:val="0"/>
                  <w:vAlign w:val="center"/>
                </w:tcPr>
                <w:p>
                  <w:pPr>
                    <w:pStyle w:val="38"/>
                    <w:bidi w:val="0"/>
                    <w:rPr>
                      <w:rFonts w:hint="default"/>
                      <w:lang w:eastAsia="zh-CN"/>
                    </w:rPr>
                  </w:pPr>
                  <w:r>
                    <w:rPr>
                      <w:rFonts w:hint="default"/>
                      <w:lang w:eastAsia="zh-CN"/>
                    </w:rPr>
                    <w:t>庄上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restart"/>
                  <w:noWrap w:val="0"/>
                  <w:vAlign w:val="center"/>
                </w:tcPr>
                <w:p>
                  <w:pPr>
                    <w:pStyle w:val="38"/>
                    <w:bidi w:val="0"/>
                    <w:rPr>
                      <w:rFonts w:hint="default"/>
                    </w:rPr>
                  </w:pPr>
                  <w:r>
                    <w:rPr>
                      <w:rFonts w:hint="default"/>
                    </w:rPr>
                    <w:t>pH</w:t>
                  </w:r>
                </w:p>
              </w:tc>
              <w:tc>
                <w:tcPr>
                  <w:tcW w:w="1505" w:type="pct"/>
                  <w:noWrap w:val="0"/>
                  <w:vAlign w:val="center"/>
                </w:tcPr>
                <w:p>
                  <w:pPr>
                    <w:pStyle w:val="38"/>
                    <w:bidi w:val="0"/>
                    <w:rPr>
                      <w:rFonts w:hint="default"/>
                    </w:rPr>
                  </w:pPr>
                  <w:r>
                    <w:rPr>
                      <w:rFonts w:hint="default"/>
                    </w:rPr>
                    <w:t>均值</w:t>
                  </w:r>
                </w:p>
              </w:tc>
              <w:tc>
                <w:tcPr>
                  <w:tcW w:w="937" w:type="pct"/>
                  <w:noWrap w:val="0"/>
                  <w:vAlign w:val="center"/>
                </w:tcPr>
                <w:p>
                  <w:pPr>
                    <w:pStyle w:val="38"/>
                    <w:bidi w:val="0"/>
                    <w:rPr>
                      <w:rFonts w:hint="default"/>
                      <w:lang w:eastAsia="zh-CN"/>
                    </w:rPr>
                  </w:pPr>
                  <w:r>
                    <w:rPr>
                      <w:rFonts w:hint="default"/>
                      <w:lang w:val="en-US" w:eastAsia="zh-CN"/>
                    </w:rPr>
                    <w:t>8</w:t>
                  </w:r>
                </w:p>
              </w:tc>
              <w:tc>
                <w:tcPr>
                  <w:tcW w:w="1777" w:type="pct"/>
                  <w:noWrap w:val="0"/>
                  <w:vAlign w:val="center"/>
                </w:tcPr>
                <w:p>
                  <w:pPr>
                    <w:pStyle w:val="38"/>
                    <w:bidi w:val="0"/>
                    <w:rPr>
                      <w:rFonts w:hint="default"/>
                      <w:lang w:eastAsia="zh-CN"/>
                    </w:rPr>
                  </w:pPr>
                  <w:r>
                    <w:rPr>
                      <w:rFonts w:hint="default"/>
                      <w:lang w:val="en-US" w:eastAsia="zh-CN"/>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bookmarkStart w:id="22" w:name="_Toc432260505"/>
                  <w:bookmarkStart w:id="23" w:name="_Toc517812469"/>
                  <w:bookmarkStart w:id="24" w:name="_Toc432262861"/>
                  <w:bookmarkStart w:id="25" w:name="_Toc432257881"/>
                  <w:r>
                    <w:rPr>
                      <w:rFonts w:hint="default"/>
                    </w:rPr>
                    <w:t>评价标准</w:t>
                  </w:r>
                  <w:bookmarkEnd w:id="22"/>
                  <w:bookmarkEnd w:id="23"/>
                  <w:bookmarkEnd w:id="24"/>
                  <w:bookmarkEnd w:id="25"/>
                </w:p>
              </w:tc>
              <w:tc>
                <w:tcPr>
                  <w:tcW w:w="937" w:type="pct"/>
                  <w:noWrap w:val="0"/>
                  <w:vAlign w:val="center"/>
                </w:tcPr>
                <w:p>
                  <w:pPr>
                    <w:pStyle w:val="38"/>
                    <w:bidi w:val="0"/>
                    <w:rPr>
                      <w:rFonts w:hint="default"/>
                    </w:rPr>
                  </w:pPr>
                  <w:r>
                    <w:rPr>
                      <w:rFonts w:hint="default"/>
                    </w:rPr>
                    <w:t>6～9</w:t>
                  </w:r>
                </w:p>
              </w:tc>
              <w:tc>
                <w:tcPr>
                  <w:tcW w:w="1777" w:type="pct"/>
                  <w:noWrap w:val="0"/>
                  <w:vAlign w:val="center"/>
                </w:tcPr>
                <w:p>
                  <w:pPr>
                    <w:pStyle w:val="38"/>
                    <w:bidi w:val="0"/>
                    <w:rPr>
                      <w:rFonts w:hint="default"/>
                    </w:rPr>
                  </w:pPr>
                  <w:r>
                    <w:rPr>
                      <w:rFonts w:hint="default"/>
                    </w:rPr>
                    <w:t>6～9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bookmarkStart w:id="26" w:name="_Toc517812472"/>
                  <w:bookmarkStart w:id="27" w:name="_Toc432260508"/>
                  <w:bookmarkStart w:id="28" w:name="_Toc432257884"/>
                  <w:bookmarkStart w:id="29" w:name="_Toc432262864"/>
                  <w:r>
                    <w:rPr>
                      <w:rFonts w:hint="default"/>
                    </w:rPr>
                    <w:t>超标率（%）</w:t>
                  </w:r>
                  <w:bookmarkEnd w:id="26"/>
                  <w:bookmarkEnd w:id="27"/>
                  <w:bookmarkEnd w:id="28"/>
                  <w:bookmarkEnd w:id="29"/>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bookmarkStart w:id="30" w:name="_Toc432257887"/>
                  <w:bookmarkStart w:id="31" w:name="_Toc432262867"/>
                  <w:bookmarkStart w:id="32" w:name="_Toc432260511"/>
                  <w:bookmarkStart w:id="33" w:name="_Toc517812475"/>
                  <w:r>
                    <w:rPr>
                      <w:rFonts w:hint="default"/>
                    </w:rPr>
                    <w:t>最大超标倍数</w:t>
                  </w:r>
                  <w:bookmarkEnd w:id="30"/>
                  <w:bookmarkEnd w:id="31"/>
                  <w:bookmarkEnd w:id="32"/>
                  <w:bookmarkEnd w:id="33"/>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restart"/>
                  <w:noWrap w:val="0"/>
                  <w:vAlign w:val="center"/>
                </w:tcPr>
                <w:p>
                  <w:pPr>
                    <w:pStyle w:val="38"/>
                    <w:bidi w:val="0"/>
                    <w:rPr>
                      <w:rFonts w:hint="default"/>
                    </w:rPr>
                  </w:pPr>
                  <w:r>
                    <w:rPr>
                      <w:rFonts w:hint="default"/>
                    </w:rPr>
                    <w:t>溶解氧</w:t>
                  </w:r>
                </w:p>
              </w:tc>
              <w:tc>
                <w:tcPr>
                  <w:tcW w:w="1505" w:type="pct"/>
                  <w:noWrap w:val="0"/>
                  <w:vAlign w:val="center"/>
                </w:tcPr>
                <w:p>
                  <w:pPr>
                    <w:pStyle w:val="38"/>
                    <w:bidi w:val="0"/>
                    <w:rPr>
                      <w:rFonts w:hint="default"/>
                    </w:rPr>
                  </w:pPr>
                  <w:r>
                    <w:rPr>
                      <w:rFonts w:hint="default"/>
                    </w:rPr>
                    <w:t>均值</w:t>
                  </w:r>
                </w:p>
              </w:tc>
              <w:tc>
                <w:tcPr>
                  <w:tcW w:w="937" w:type="pct"/>
                  <w:noWrap w:val="0"/>
                  <w:vAlign w:val="center"/>
                </w:tcPr>
                <w:p>
                  <w:pPr>
                    <w:pStyle w:val="38"/>
                    <w:bidi w:val="0"/>
                    <w:rPr>
                      <w:rFonts w:hint="default"/>
                      <w:lang w:val="en-US" w:eastAsia="zh-CN"/>
                    </w:rPr>
                  </w:pPr>
                  <w:r>
                    <w:rPr>
                      <w:rFonts w:hint="default"/>
                      <w:lang w:val="en-US" w:eastAsia="zh-CN"/>
                    </w:rPr>
                    <w:t>7.4</w:t>
                  </w:r>
                </w:p>
              </w:tc>
              <w:tc>
                <w:tcPr>
                  <w:tcW w:w="1777" w:type="pct"/>
                  <w:noWrap w:val="0"/>
                  <w:vAlign w:val="center"/>
                </w:tcPr>
                <w:p>
                  <w:pPr>
                    <w:pStyle w:val="38"/>
                    <w:bidi w:val="0"/>
                    <w:rPr>
                      <w:rFonts w:hint="default"/>
                      <w:lang w:val="en-US" w:eastAsia="zh-CN"/>
                    </w:rPr>
                  </w:pPr>
                  <w:r>
                    <w:rPr>
                      <w:rFonts w:hint="default"/>
                      <w:lang w:val="en-US" w:eastAsia="zh-CN"/>
                    </w:rPr>
                    <w:t>7.4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评价标准</w:t>
                  </w:r>
                </w:p>
              </w:tc>
              <w:tc>
                <w:tcPr>
                  <w:tcW w:w="937" w:type="pct"/>
                  <w:noWrap w:val="0"/>
                  <w:vAlign w:val="center"/>
                </w:tcPr>
                <w:p>
                  <w:pPr>
                    <w:pStyle w:val="38"/>
                    <w:bidi w:val="0"/>
                    <w:rPr>
                      <w:rFonts w:hint="default"/>
                      <w:lang w:eastAsia="zh-CN"/>
                    </w:rPr>
                  </w:pPr>
                  <w:r>
                    <w:rPr>
                      <w:rFonts w:hint="default"/>
                    </w:rPr>
                    <w:t>≥</w:t>
                  </w:r>
                  <w:r>
                    <w:rPr>
                      <w:rFonts w:hint="default"/>
                      <w:lang w:val="en-US" w:eastAsia="zh-CN"/>
                    </w:rPr>
                    <w:t>5</w:t>
                  </w:r>
                </w:p>
              </w:tc>
              <w:tc>
                <w:tcPr>
                  <w:tcW w:w="1777" w:type="pct"/>
                  <w:noWrap w:val="0"/>
                  <w:vAlign w:val="center"/>
                </w:tcPr>
                <w:p>
                  <w:pPr>
                    <w:pStyle w:val="38"/>
                    <w:bidi w:val="0"/>
                    <w:rPr>
                      <w:rFonts w:hint="default"/>
                      <w:lang w:eastAsia="zh-CN"/>
                    </w:rPr>
                  </w:pPr>
                  <w:r>
                    <w:rPr>
                      <w:rFonts w:hint="default"/>
                    </w:rPr>
                    <w:t>≥</w:t>
                  </w:r>
                  <w:r>
                    <w:rPr>
                      <w:rFonts w:hint="default"/>
                      <w:lang w:val="en-US" w:eastAsia="zh-CN"/>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超标率（%）</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最大超标倍数</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restart"/>
                  <w:noWrap w:val="0"/>
                  <w:vAlign w:val="center"/>
                </w:tcPr>
                <w:p>
                  <w:pPr>
                    <w:pStyle w:val="38"/>
                    <w:bidi w:val="0"/>
                    <w:rPr>
                      <w:rFonts w:hint="default"/>
                    </w:rPr>
                  </w:pPr>
                  <w:r>
                    <w:rPr>
                      <w:rFonts w:hint="default"/>
                    </w:rPr>
                    <w:t>高锰酸盐指数</w:t>
                  </w:r>
                </w:p>
              </w:tc>
              <w:tc>
                <w:tcPr>
                  <w:tcW w:w="1505" w:type="pct"/>
                  <w:noWrap w:val="0"/>
                  <w:vAlign w:val="center"/>
                </w:tcPr>
                <w:p>
                  <w:pPr>
                    <w:pStyle w:val="38"/>
                    <w:bidi w:val="0"/>
                    <w:rPr>
                      <w:rFonts w:hint="default"/>
                    </w:rPr>
                  </w:pPr>
                  <w:r>
                    <w:rPr>
                      <w:rFonts w:hint="default"/>
                    </w:rPr>
                    <w:t>均值</w:t>
                  </w:r>
                </w:p>
              </w:tc>
              <w:tc>
                <w:tcPr>
                  <w:tcW w:w="937" w:type="pct"/>
                  <w:noWrap w:val="0"/>
                  <w:vAlign w:val="center"/>
                </w:tcPr>
                <w:p>
                  <w:pPr>
                    <w:pStyle w:val="38"/>
                    <w:bidi w:val="0"/>
                    <w:rPr>
                      <w:rFonts w:hint="default"/>
                      <w:lang w:val="en-US" w:eastAsia="zh-CN"/>
                    </w:rPr>
                  </w:pPr>
                  <w:r>
                    <w:rPr>
                      <w:rFonts w:hint="default"/>
                      <w:lang w:val="en-US" w:eastAsia="zh-CN"/>
                    </w:rPr>
                    <w:t>2.4</w:t>
                  </w:r>
                </w:p>
              </w:tc>
              <w:tc>
                <w:tcPr>
                  <w:tcW w:w="1777" w:type="pct"/>
                  <w:noWrap w:val="0"/>
                  <w:vAlign w:val="center"/>
                </w:tcPr>
                <w:p>
                  <w:pPr>
                    <w:pStyle w:val="38"/>
                    <w:bidi w:val="0"/>
                    <w:rPr>
                      <w:rFonts w:hint="default"/>
                      <w:lang w:val="en-US" w:eastAsia="zh-CN"/>
                    </w:rPr>
                  </w:pPr>
                  <w:r>
                    <w:rPr>
                      <w:rFonts w:hint="default"/>
                      <w:lang w:val="en-US" w:eastAsia="zh-CN"/>
                    </w:rPr>
                    <w:t>2.4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评价标准</w:t>
                  </w:r>
                </w:p>
              </w:tc>
              <w:tc>
                <w:tcPr>
                  <w:tcW w:w="937" w:type="pct"/>
                  <w:noWrap w:val="0"/>
                  <w:vAlign w:val="center"/>
                </w:tcPr>
                <w:p>
                  <w:pPr>
                    <w:pStyle w:val="38"/>
                    <w:bidi w:val="0"/>
                    <w:rPr>
                      <w:rFonts w:hint="default"/>
                      <w:lang w:eastAsia="zh-CN"/>
                    </w:rPr>
                  </w:pPr>
                  <w:r>
                    <w:rPr>
                      <w:rFonts w:hint="default"/>
                    </w:rPr>
                    <w:t>≤</w:t>
                  </w:r>
                  <w:r>
                    <w:rPr>
                      <w:rFonts w:hint="default"/>
                      <w:lang w:val="en-US" w:eastAsia="zh-CN"/>
                    </w:rPr>
                    <w:t>6</w:t>
                  </w:r>
                </w:p>
              </w:tc>
              <w:tc>
                <w:tcPr>
                  <w:tcW w:w="1777" w:type="pct"/>
                  <w:noWrap w:val="0"/>
                  <w:vAlign w:val="center"/>
                </w:tcPr>
                <w:p>
                  <w:pPr>
                    <w:pStyle w:val="38"/>
                    <w:bidi w:val="0"/>
                    <w:rPr>
                      <w:rFonts w:hint="default"/>
                      <w:lang w:eastAsia="zh-CN"/>
                    </w:rPr>
                  </w:pPr>
                  <w:r>
                    <w:rPr>
                      <w:rFonts w:hint="default"/>
                    </w:rPr>
                    <w:t>≤</w:t>
                  </w:r>
                  <w:r>
                    <w:rPr>
                      <w:rFonts w:hint="default"/>
                      <w:lang w:val="en-US" w:eastAsia="zh-CN"/>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超标率（%）</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最大超标倍数</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restart"/>
                  <w:noWrap w:val="0"/>
                  <w:vAlign w:val="center"/>
                </w:tcPr>
                <w:p>
                  <w:pPr>
                    <w:pStyle w:val="38"/>
                    <w:bidi w:val="0"/>
                    <w:rPr>
                      <w:rFonts w:hint="default"/>
                    </w:rPr>
                  </w:pPr>
                  <w:r>
                    <w:rPr>
                      <w:rFonts w:hint="default"/>
                    </w:rPr>
                    <w:t>化学需氧量</w:t>
                  </w:r>
                </w:p>
              </w:tc>
              <w:tc>
                <w:tcPr>
                  <w:tcW w:w="1505" w:type="pct"/>
                  <w:noWrap w:val="0"/>
                  <w:vAlign w:val="center"/>
                </w:tcPr>
                <w:p>
                  <w:pPr>
                    <w:pStyle w:val="38"/>
                    <w:bidi w:val="0"/>
                    <w:rPr>
                      <w:rFonts w:hint="default"/>
                    </w:rPr>
                  </w:pPr>
                  <w:r>
                    <w:rPr>
                      <w:rFonts w:hint="default"/>
                    </w:rPr>
                    <w:t>均值</w:t>
                  </w:r>
                </w:p>
              </w:tc>
              <w:tc>
                <w:tcPr>
                  <w:tcW w:w="937" w:type="pct"/>
                  <w:noWrap w:val="0"/>
                  <w:vAlign w:val="center"/>
                </w:tcPr>
                <w:p>
                  <w:pPr>
                    <w:pStyle w:val="38"/>
                    <w:bidi w:val="0"/>
                    <w:rPr>
                      <w:rFonts w:hint="default"/>
                      <w:lang w:val="en-US" w:eastAsia="zh-CN"/>
                    </w:rPr>
                  </w:pPr>
                  <w:r>
                    <w:rPr>
                      <w:rFonts w:hint="default"/>
                      <w:lang w:val="en-US" w:eastAsia="zh-CN"/>
                    </w:rPr>
                    <w:t>9.3</w:t>
                  </w:r>
                </w:p>
              </w:tc>
              <w:tc>
                <w:tcPr>
                  <w:tcW w:w="1777" w:type="pct"/>
                  <w:noWrap w:val="0"/>
                  <w:vAlign w:val="center"/>
                </w:tcPr>
                <w:p>
                  <w:pPr>
                    <w:pStyle w:val="38"/>
                    <w:bidi w:val="0"/>
                    <w:rPr>
                      <w:rFonts w:hint="default"/>
                      <w:lang w:val="en-US" w:eastAsia="zh-CN"/>
                    </w:rPr>
                  </w:pPr>
                  <w:r>
                    <w:rPr>
                      <w:rFonts w:hint="default"/>
                      <w:lang w:val="en-US" w:eastAsia="zh-CN"/>
                    </w:rPr>
                    <w:t>9.3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评价标准</w:t>
                  </w:r>
                </w:p>
              </w:tc>
              <w:tc>
                <w:tcPr>
                  <w:tcW w:w="937" w:type="pct"/>
                  <w:noWrap w:val="0"/>
                  <w:vAlign w:val="center"/>
                </w:tcPr>
                <w:p>
                  <w:pPr>
                    <w:pStyle w:val="38"/>
                    <w:bidi w:val="0"/>
                    <w:rPr>
                      <w:rFonts w:hint="default"/>
                      <w:lang w:val="en-US" w:eastAsia="zh-CN"/>
                    </w:rPr>
                  </w:pPr>
                  <w:r>
                    <w:rPr>
                      <w:rFonts w:hint="default"/>
                    </w:rPr>
                    <w:t>≤</w:t>
                  </w:r>
                  <w:r>
                    <w:rPr>
                      <w:rFonts w:hint="default"/>
                      <w:lang w:val="en-US" w:eastAsia="zh-CN"/>
                    </w:rPr>
                    <w:t>20</w:t>
                  </w:r>
                </w:p>
              </w:tc>
              <w:tc>
                <w:tcPr>
                  <w:tcW w:w="1777" w:type="pct"/>
                  <w:noWrap w:val="0"/>
                  <w:vAlign w:val="center"/>
                </w:tcPr>
                <w:p>
                  <w:pPr>
                    <w:pStyle w:val="38"/>
                    <w:bidi w:val="0"/>
                    <w:rPr>
                      <w:rFonts w:hint="default"/>
                      <w:lang w:val="en-US" w:eastAsia="zh-CN"/>
                    </w:rPr>
                  </w:pPr>
                  <w:r>
                    <w:rPr>
                      <w:rFonts w:hint="default"/>
                    </w:rPr>
                    <w:t>≤</w:t>
                  </w:r>
                  <w:r>
                    <w:rPr>
                      <w:rFonts w:hint="default"/>
                      <w:lang w:val="en-US" w:eastAsia="zh-CN"/>
                    </w:rPr>
                    <w:t>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超标率（%）</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最大超标倍数</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restart"/>
                  <w:noWrap w:val="0"/>
                  <w:vAlign w:val="center"/>
                </w:tcPr>
                <w:p>
                  <w:pPr>
                    <w:pStyle w:val="38"/>
                    <w:bidi w:val="0"/>
                    <w:rPr>
                      <w:rFonts w:hint="default"/>
                    </w:rPr>
                  </w:pPr>
                  <w:r>
                    <w:rPr>
                      <w:rFonts w:hint="default"/>
                    </w:rPr>
                    <w:t>五日生化需氧量</w:t>
                  </w:r>
                </w:p>
              </w:tc>
              <w:tc>
                <w:tcPr>
                  <w:tcW w:w="1505" w:type="pct"/>
                  <w:noWrap w:val="0"/>
                  <w:vAlign w:val="center"/>
                </w:tcPr>
                <w:p>
                  <w:pPr>
                    <w:pStyle w:val="38"/>
                    <w:bidi w:val="0"/>
                    <w:rPr>
                      <w:rFonts w:hint="default"/>
                    </w:rPr>
                  </w:pPr>
                  <w:r>
                    <w:rPr>
                      <w:rFonts w:hint="default"/>
                    </w:rPr>
                    <w:t>均值</w:t>
                  </w:r>
                </w:p>
              </w:tc>
              <w:tc>
                <w:tcPr>
                  <w:tcW w:w="937" w:type="pct"/>
                  <w:noWrap w:val="0"/>
                  <w:vAlign w:val="center"/>
                </w:tcPr>
                <w:p>
                  <w:pPr>
                    <w:pStyle w:val="38"/>
                    <w:bidi w:val="0"/>
                    <w:rPr>
                      <w:rFonts w:hint="default"/>
                      <w:lang w:val="en-US" w:eastAsia="zh-CN"/>
                    </w:rPr>
                  </w:pPr>
                  <w:r>
                    <w:rPr>
                      <w:rFonts w:hint="default"/>
                      <w:lang w:val="en-US" w:eastAsia="zh-CN"/>
                    </w:rPr>
                    <w:t>1.9</w:t>
                  </w:r>
                </w:p>
              </w:tc>
              <w:tc>
                <w:tcPr>
                  <w:tcW w:w="1777" w:type="pct"/>
                  <w:noWrap w:val="0"/>
                  <w:vAlign w:val="center"/>
                </w:tcPr>
                <w:p>
                  <w:pPr>
                    <w:pStyle w:val="38"/>
                    <w:bidi w:val="0"/>
                    <w:rPr>
                      <w:rFonts w:hint="default"/>
                      <w:lang w:val="en-US" w:eastAsia="zh-CN"/>
                    </w:rPr>
                  </w:pPr>
                  <w:r>
                    <w:rPr>
                      <w:rFonts w:hint="default"/>
                      <w:lang w:val="en-US" w:eastAsia="zh-CN"/>
                    </w:rPr>
                    <w:t>1.8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评价标准</w:t>
                  </w:r>
                </w:p>
              </w:tc>
              <w:tc>
                <w:tcPr>
                  <w:tcW w:w="937" w:type="pct"/>
                  <w:noWrap w:val="0"/>
                  <w:vAlign w:val="center"/>
                </w:tcPr>
                <w:p>
                  <w:pPr>
                    <w:pStyle w:val="38"/>
                    <w:bidi w:val="0"/>
                    <w:rPr>
                      <w:rFonts w:hint="default"/>
                      <w:lang w:eastAsia="zh-CN"/>
                    </w:rPr>
                  </w:pPr>
                  <w:r>
                    <w:rPr>
                      <w:rFonts w:hint="default"/>
                    </w:rPr>
                    <w:t>≤</w:t>
                  </w:r>
                  <w:r>
                    <w:rPr>
                      <w:rFonts w:hint="default"/>
                      <w:lang w:val="en-US" w:eastAsia="zh-CN"/>
                    </w:rPr>
                    <w:t>4</w:t>
                  </w:r>
                </w:p>
              </w:tc>
              <w:tc>
                <w:tcPr>
                  <w:tcW w:w="1777" w:type="pct"/>
                  <w:noWrap w:val="0"/>
                  <w:vAlign w:val="center"/>
                </w:tcPr>
                <w:p>
                  <w:pPr>
                    <w:pStyle w:val="38"/>
                    <w:bidi w:val="0"/>
                    <w:rPr>
                      <w:rFonts w:hint="default"/>
                      <w:lang w:eastAsia="zh-CN"/>
                    </w:rPr>
                  </w:pPr>
                  <w:r>
                    <w:rPr>
                      <w:rFonts w:hint="default"/>
                    </w:rPr>
                    <w:t>≤</w:t>
                  </w:r>
                  <w:r>
                    <w:rPr>
                      <w:rFonts w:hint="default"/>
                      <w:lang w:val="en-US" w:eastAsia="zh-CN"/>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超标率（%）</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最大超标倍数</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restart"/>
                  <w:noWrap w:val="0"/>
                  <w:vAlign w:val="center"/>
                </w:tcPr>
                <w:p>
                  <w:pPr>
                    <w:pStyle w:val="38"/>
                    <w:bidi w:val="0"/>
                    <w:rPr>
                      <w:rFonts w:hint="default"/>
                    </w:rPr>
                  </w:pPr>
                  <w:r>
                    <w:rPr>
                      <w:rFonts w:hint="default"/>
                    </w:rPr>
                    <w:t>氨氮</w:t>
                  </w:r>
                </w:p>
              </w:tc>
              <w:tc>
                <w:tcPr>
                  <w:tcW w:w="1505" w:type="pct"/>
                  <w:noWrap w:val="0"/>
                  <w:vAlign w:val="center"/>
                </w:tcPr>
                <w:p>
                  <w:pPr>
                    <w:pStyle w:val="38"/>
                    <w:bidi w:val="0"/>
                    <w:rPr>
                      <w:rFonts w:hint="default"/>
                    </w:rPr>
                  </w:pPr>
                  <w:r>
                    <w:rPr>
                      <w:rFonts w:hint="default"/>
                    </w:rPr>
                    <w:t>均值</w:t>
                  </w:r>
                </w:p>
              </w:tc>
              <w:tc>
                <w:tcPr>
                  <w:tcW w:w="937" w:type="pct"/>
                  <w:noWrap w:val="0"/>
                  <w:vAlign w:val="center"/>
                </w:tcPr>
                <w:p>
                  <w:pPr>
                    <w:pStyle w:val="38"/>
                    <w:bidi w:val="0"/>
                    <w:rPr>
                      <w:rFonts w:hint="default"/>
                      <w:lang w:val="en-US" w:eastAsia="zh-CN"/>
                    </w:rPr>
                  </w:pPr>
                  <w:r>
                    <w:rPr>
                      <w:rFonts w:hint="default"/>
                      <w:lang w:val="en-US" w:eastAsia="zh-CN"/>
                    </w:rPr>
                    <w:t>0.05</w:t>
                  </w:r>
                </w:p>
              </w:tc>
              <w:tc>
                <w:tcPr>
                  <w:tcW w:w="1777" w:type="pct"/>
                  <w:noWrap w:val="0"/>
                  <w:vAlign w:val="center"/>
                </w:tcPr>
                <w:p>
                  <w:pPr>
                    <w:pStyle w:val="38"/>
                    <w:bidi w:val="0"/>
                    <w:rPr>
                      <w:rFonts w:hint="default"/>
                      <w:lang w:val="en-US" w:eastAsia="zh-CN"/>
                    </w:rPr>
                  </w:pPr>
                  <w:r>
                    <w:rPr>
                      <w:rFonts w:hint="default"/>
                      <w:lang w:val="en-US" w:eastAsia="zh-CN"/>
                    </w:rPr>
                    <w:t>0.15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评价标准</w:t>
                  </w:r>
                </w:p>
              </w:tc>
              <w:tc>
                <w:tcPr>
                  <w:tcW w:w="937" w:type="pct"/>
                  <w:noWrap w:val="0"/>
                  <w:vAlign w:val="center"/>
                </w:tcPr>
                <w:p>
                  <w:pPr>
                    <w:pStyle w:val="38"/>
                    <w:bidi w:val="0"/>
                    <w:rPr>
                      <w:rFonts w:hint="default"/>
                      <w:lang w:val="en-US" w:eastAsia="zh-CN"/>
                    </w:rPr>
                  </w:pPr>
                  <w:r>
                    <w:rPr>
                      <w:rFonts w:hint="default"/>
                    </w:rPr>
                    <w:t>≤</w:t>
                  </w:r>
                  <w:r>
                    <w:rPr>
                      <w:rFonts w:hint="default"/>
                      <w:lang w:val="en-US" w:eastAsia="zh-CN"/>
                    </w:rPr>
                    <w:t>1.0</w:t>
                  </w:r>
                </w:p>
              </w:tc>
              <w:tc>
                <w:tcPr>
                  <w:tcW w:w="1777" w:type="pct"/>
                  <w:noWrap w:val="0"/>
                  <w:vAlign w:val="center"/>
                </w:tcPr>
                <w:p>
                  <w:pPr>
                    <w:pStyle w:val="38"/>
                    <w:bidi w:val="0"/>
                    <w:rPr>
                      <w:rFonts w:hint="default"/>
                      <w:lang w:val="en-US" w:eastAsia="zh-CN"/>
                    </w:rPr>
                  </w:pPr>
                  <w:r>
                    <w:rPr>
                      <w:rFonts w:hint="default"/>
                    </w:rPr>
                    <w:t>≤</w:t>
                  </w:r>
                  <w:r>
                    <w:rPr>
                      <w:rFonts w:hint="default"/>
                      <w:lang w:val="en-US" w:eastAsia="zh-CN"/>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超标率（%）</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最大超标倍数</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restart"/>
                  <w:noWrap w:val="0"/>
                  <w:vAlign w:val="center"/>
                </w:tcPr>
                <w:p>
                  <w:pPr>
                    <w:pStyle w:val="38"/>
                    <w:bidi w:val="0"/>
                    <w:rPr>
                      <w:rFonts w:hint="default"/>
                    </w:rPr>
                  </w:pPr>
                  <w:r>
                    <w:rPr>
                      <w:rFonts w:hint="default"/>
                    </w:rPr>
                    <w:t>总磷</w:t>
                  </w:r>
                </w:p>
              </w:tc>
              <w:tc>
                <w:tcPr>
                  <w:tcW w:w="1505" w:type="pct"/>
                  <w:noWrap w:val="0"/>
                  <w:vAlign w:val="center"/>
                </w:tcPr>
                <w:p>
                  <w:pPr>
                    <w:pStyle w:val="38"/>
                    <w:bidi w:val="0"/>
                    <w:rPr>
                      <w:rFonts w:hint="default"/>
                    </w:rPr>
                  </w:pPr>
                  <w:r>
                    <w:rPr>
                      <w:rFonts w:hint="default"/>
                    </w:rPr>
                    <w:t>均值</w:t>
                  </w:r>
                </w:p>
              </w:tc>
              <w:tc>
                <w:tcPr>
                  <w:tcW w:w="937" w:type="pct"/>
                  <w:noWrap w:val="0"/>
                  <w:vAlign w:val="center"/>
                </w:tcPr>
                <w:p>
                  <w:pPr>
                    <w:pStyle w:val="38"/>
                    <w:bidi w:val="0"/>
                    <w:rPr>
                      <w:rFonts w:hint="default"/>
                      <w:lang w:val="en-US" w:eastAsia="zh-CN"/>
                    </w:rPr>
                  </w:pPr>
                  <w:r>
                    <w:rPr>
                      <w:rFonts w:hint="default"/>
                      <w:lang w:val="en-US" w:eastAsia="zh-CN"/>
                    </w:rPr>
                    <w:t>0.019</w:t>
                  </w:r>
                </w:p>
              </w:tc>
              <w:tc>
                <w:tcPr>
                  <w:tcW w:w="1777" w:type="pct"/>
                  <w:noWrap w:val="0"/>
                  <w:vAlign w:val="center"/>
                </w:tcPr>
                <w:p>
                  <w:pPr>
                    <w:pStyle w:val="38"/>
                    <w:bidi w:val="0"/>
                    <w:rPr>
                      <w:rFonts w:hint="default"/>
                      <w:lang w:val="en-US" w:eastAsia="zh-CN"/>
                    </w:rPr>
                  </w:pPr>
                  <w:r>
                    <w:rPr>
                      <w:rFonts w:hint="default"/>
                      <w:lang w:val="en-US" w:eastAsia="zh-CN"/>
                    </w:rPr>
                    <w:t>0.023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评价标准</w:t>
                  </w:r>
                </w:p>
              </w:tc>
              <w:tc>
                <w:tcPr>
                  <w:tcW w:w="937" w:type="pct"/>
                  <w:noWrap w:val="0"/>
                  <w:vAlign w:val="center"/>
                </w:tcPr>
                <w:p>
                  <w:pPr>
                    <w:pStyle w:val="38"/>
                    <w:bidi w:val="0"/>
                    <w:rPr>
                      <w:rFonts w:hint="default"/>
                      <w:lang w:val="en-US" w:eastAsia="zh-CN"/>
                    </w:rPr>
                  </w:pPr>
                  <w:r>
                    <w:rPr>
                      <w:rFonts w:hint="default"/>
                    </w:rPr>
                    <w:t>≤</w:t>
                  </w:r>
                  <w:r>
                    <w:rPr>
                      <w:rFonts w:hint="default"/>
                      <w:lang w:val="en-US" w:eastAsia="zh-CN"/>
                    </w:rPr>
                    <w:t>0.2</w:t>
                  </w:r>
                </w:p>
              </w:tc>
              <w:tc>
                <w:tcPr>
                  <w:tcW w:w="1777" w:type="pct"/>
                  <w:noWrap w:val="0"/>
                  <w:vAlign w:val="center"/>
                </w:tcPr>
                <w:p>
                  <w:pPr>
                    <w:pStyle w:val="38"/>
                    <w:bidi w:val="0"/>
                    <w:rPr>
                      <w:rFonts w:hint="default"/>
                      <w:lang w:eastAsia="zh-CN"/>
                    </w:rPr>
                  </w:pPr>
                  <w:r>
                    <w:rPr>
                      <w:rFonts w:hint="default"/>
                    </w:rPr>
                    <w:t>≤0.</w:t>
                  </w:r>
                  <w:r>
                    <w:rPr>
                      <w:rFonts w:hint="default"/>
                      <w:lang w:val="en-US" w:eastAsia="zh-CN"/>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超标率（%）</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最大超标倍数</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restart"/>
                  <w:noWrap w:val="0"/>
                  <w:vAlign w:val="center"/>
                </w:tcPr>
                <w:p>
                  <w:pPr>
                    <w:pStyle w:val="38"/>
                    <w:bidi w:val="0"/>
                    <w:rPr>
                      <w:rFonts w:hint="default"/>
                    </w:rPr>
                  </w:pPr>
                  <w:r>
                    <w:rPr>
                      <w:rFonts w:hint="default"/>
                    </w:rPr>
                    <w:t>铜</w:t>
                  </w:r>
                </w:p>
              </w:tc>
              <w:tc>
                <w:tcPr>
                  <w:tcW w:w="1505" w:type="pct"/>
                  <w:noWrap w:val="0"/>
                  <w:vAlign w:val="center"/>
                </w:tcPr>
                <w:p>
                  <w:pPr>
                    <w:pStyle w:val="38"/>
                    <w:bidi w:val="0"/>
                    <w:rPr>
                      <w:rFonts w:hint="default"/>
                    </w:rPr>
                  </w:pPr>
                  <w:r>
                    <w:rPr>
                      <w:rFonts w:hint="default"/>
                    </w:rPr>
                    <w:t>均值</w:t>
                  </w:r>
                </w:p>
              </w:tc>
              <w:tc>
                <w:tcPr>
                  <w:tcW w:w="937" w:type="pct"/>
                  <w:noWrap w:val="0"/>
                  <w:vAlign w:val="center"/>
                </w:tcPr>
                <w:p>
                  <w:pPr>
                    <w:pStyle w:val="38"/>
                    <w:bidi w:val="0"/>
                    <w:rPr>
                      <w:rFonts w:hint="default"/>
                      <w:lang w:val="en-US" w:eastAsia="zh-CN"/>
                    </w:rPr>
                  </w:pPr>
                  <w:r>
                    <w:rPr>
                      <w:rFonts w:hint="default"/>
                      <w:lang w:val="en-US" w:eastAsia="zh-CN"/>
                    </w:rPr>
                    <w:t>0.001</w:t>
                  </w:r>
                </w:p>
              </w:tc>
              <w:tc>
                <w:tcPr>
                  <w:tcW w:w="1777" w:type="pct"/>
                  <w:noWrap w:val="0"/>
                  <w:vAlign w:val="center"/>
                </w:tcPr>
                <w:p>
                  <w:pPr>
                    <w:pStyle w:val="38"/>
                    <w:bidi w:val="0"/>
                    <w:rPr>
                      <w:rFonts w:hint="default"/>
                      <w:lang w:val="en-US" w:eastAsia="zh-CN"/>
                    </w:rPr>
                  </w:pPr>
                  <w:r>
                    <w:rPr>
                      <w:rFonts w:hint="default"/>
                      <w:lang w:val="en-US" w:eastAsia="zh-CN"/>
                    </w:rPr>
                    <w:t>0.001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评价标准</w:t>
                  </w:r>
                </w:p>
              </w:tc>
              <w:tc>
                <w:tcPr>
                  <w:tcW w:w="937" w:type="pct"/>
                  <w:noWrap w:val="0"/>
                  <w:vAlign w:val="center"/>
                </w:tcPr>
                <w:p>
                  <w:pPr>
                    <w:pStyle w:val="38"/>
                    <w:bidi w:val="0"/>
                    <w:rPr>
                      <w:rFonts w:hint="default"/>
                    </w:rPr>
                  </w:pPr>
                  <w:r>
                    <w:rPr>
                      <w:rFonts w:hint="default"/>
                    </w:rPr>
                    <w:t>≤1.0</w:t>
                  </w:r>
                </w:p>
              </w:tc>
              <w:tc>
                <w:tcPr>
                  <w:tcW w:w="1777" w:type="pct"/>
                  <w:noWrap w:val="0"/>
                  <w:vAlign w:val="center"/>
                </w:tcPr>
                <w:p>
                  <w:pPr>
                    <w:pStyle w:val="38"/>
                    <w:bidi w:val="0"/>
                    <w:rPr>
                      <w:rFonts w:hint="default"/>
                    </w:rPr>
                  </w:pPr>
                  <w:r>
                    <w:rPr>
                      <w:rFonts w:hint="default"/>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超标率（%）</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最大超标倍数</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restart"/>
                  <w:noWrap w:val="0"/>
                  <w:vAlign w:val="center"/>
                </w:tcPr>
                <w:p>
                  <w:pPr>
                    <w:pStyle w:val="38"/>
                    <w:bidi w:val="0"/>
                    <w:rPr>
                      <w:rFonts w:hint="default"/>
                    </w:rPr>
                  </w:pPr>
                  <w:r>
                    <w:rPr>
                      <w:rFonts w:hint="default"/>
                    </w:rPr>
                    <w:t>锌</w:t>
                  </w:r>
                </w:p>
              </w:tc>
              <w:tc>
                <w:tcPr>
                  <w:tcW w:w="1505" w:type="pct"/>
                  <w:noWrap w:val="0"/>
                  <w:vAlign w:val="center"/>
                </w:tcPr>
                <w:p>
                  <w:pPr>
                    <w:pStyle w:val="38"/>
                    <w:bidi w:val="0"/>
                    <w:rPr>
                      <w:rFonts w:hint="default"/>
                    </w:rPr>
                  </w:pPr>
                  <w:r>
                    <w:rPr>
                      <w:rFonts w:hint="default"/>
                    </w:rPr>
                    <w:t>均值</w:t>
                  </w:r>
                </w:p>
              </w:tc>
              <w:tc>
                <w:tcPr>
                  <w:tcW w:w="937" w:type="pct"/>
                  <w:noWrap w:val="0"/>
                  <w:vAlign w:val="center"/>
                </w:tcPr>
                <w:p>
                  <w:pPr>
                    <w:pStyle w:val="38"/>
                    <w:bidi w:val="0"/>
                    <w:rPr>
                      <w:rFonts w:hint="default"/>
                      <w:lang w:val="en-US" w:eastAsia="zh-CN"/>
                    </w:rPr>
                  </w:pPr>
                  <w:r>
                    <w:rPr>
                      <w:rFonts w:hint="default"/>
                      <w:lang w:val="en-US" w:eastAsia="zh-CN"/>
                    </w:rPr>
                    <w:t>0.002</w:t>
                  </w:r>
                </w:p>
              </w:tc>
              <w:tc>
                <w:tcPr>
                  <w:tcW w:w="1777" w:type="pct"/>
                  <w:noWrap w:val="0"/>
                  <w:vAlign w:val="center"/>
                </w:tcPr>
                <w:p>
                  <w:pPr>
                    <w:pStyle w:val="38"/>
                    <w:bidi w:val="0"/>
                    <w:rPr>
                      <w:rFonts w:hint="default"/>
                      <w:lang w:val="en-US" w:eastAsia="zh-CN"/>
                    </w:rPr>
                  </w:pPr>
                  <w:r>
                    <w:rPr>
                      <w:rFonts w:hint="default"/>
                      <w:lang w:val="en-US" w:eastAsia="zh-CN"/>
                    </w:rPr>
                    <w:t>0.005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评价标准</w:t>
                  </w:r>
                </w:p>
              </w:tc>
              <w:tc>
                <w:tcPr>
                  <w:tcW w:w="937" w:type="pct"/>
                  <w:noWrap w:val="0"/>
                  <w:vAlign w:val="center"/>
                </w:tcPr>
                <w:p>
                  <w:pPr>
                    <w:pStyle w:val="38"/>
                    <w:bidi w:val="0"/>
                    <w:rPr>
                      <w:rFonts w:hint="default"/>
                    </w:rPr>
                  </w:pPr>
                  <w:r>
                    <w:rPr>
                      <w:rFonts w:hint="default"/>
                    </w:rPr>
                    <w:t>≤1.0</w:t>
                  </w:r>
                </w:p>
              </w:tc>
              <w:tc>
                <w:tcPr>
                  <w:tcW w:w="1777" w:type="pct"/>
                  <w:noWrap w:val="0"/>
                  <w:vAlign w:val="center"/>
                </w:tcPr>
                <w:p>
                  <w:pPr>
                    <w:pStyle w:val="38"/>
                    <w:bidi w:val="0"/>
                    <w:rPr>
                      <w:rFonts w:hint="default"/>
                    </w:rPr>
                  </w:pPr>
                  <w:r>
                    <w:rPr>
                      <w:rFonts w:hint="default"/>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超标率（%）</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最大超标倍数</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restart"/>
                  <w:noWrap w:val="0"/>
                  <w:vAlign w:val="center"/>
                </w:tcPr>
                <w:p>
                  <w:pPr>
                    <w:pStyle w:val="38"/>
                    <w:bidi w:val="0"/>
                    <w:rPr>
                      <w:rFonts w:hint="default"/>
                    </w:rPr>
                  </w:pPr>
                  <w:r>
                    <w:rPr>
                      <w:rFonts w:hint="default"/>
                    </w:rPr>
                    <w:t>氟化物</w:t>
                  </w:r>
                </w:p>
              </w:tc>
              <w:tc>
                <w:tcPr>
                  <w:tcW w:w="1505" w:type="pct"/>
                  <w:noWrap w:val="0"/>
                  <w:vAlign w:val="center"/>
                </w:tcPr>
                <w:p>
                  <w:pPr>
                    <w:pStyle w:val="38"/>
                    <w:bidi w:val="0"/>
                    <w:rPr>
                      <w:rFonts w:hint="default"/>
                    </w:rPr>
                  </w:pPr>
                  <w:r>
                    <w:rPr>
                      <w:rFonts w:hint="default"/>
                    </w:rPr>
                    <w:t>均值</w:t>
                  </w:r>
                </w:p>
              </w:tc>
              <w:tc>
                <w:tcPr>
                  <w:tcW w:w="937" w:type="pct"/>
                  <w:noWrap w:val="0"/>
                  <w:vAlign w:val="center"/>
                </w:tcPr>
                <w:p>
                  <w:pPr>
                    <w:pStyle w:val="38"/>
                    <w:bidi w:val="0"/>
                    <w:rPr>
                      <w:rFonts w:hint="default"/>
                      <w:lang w:val="en-US" w:eastAsia="zh-CN"/>
                    </w:rPr>
                  </w:pPr>
                  <w:r>
                    <w:rPr>
                      <w:rFonts w:hint="default"/>
                      <w:lang w:val="en-US" w:eastAsia="zh-CN"/>
                    </w:rPr>
                    <w:t>0.065</w:t>
                  </w:r>
                </w:p>
              </w:tc>
              <w:tc>
                <w:tcPr>
                  <w:tcW w:w="1777" w:type="pct"/>
                  <w:noWrap w:val="0"/>
                  <w:vAlign w:val="center"/>
                </w:tcPr>
                <w:p>
                  <w:pPr>
                    <w:pStyle w:val="38"/>
                    <w:bidi w:val="0"/>
                    <w:rPr>
                      <w:rFonts w:hint="default"/>
                      <w:lang w:val="en-US" w:eastAsia="zh-CN"/>
                    </w:rPr>
                  </w:pPr>
                  <w:r>
                    <w:rPr>
                      <w:rFonts w:hint="default"/>
                      <w:lang w:val="en-US" w:eastAsia="zh-CN"/>
                    </w:rPr>
                    <w:t>0.060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评价标准</w:t>
                  </w:r>
                </w:p>
              </w:tc>
              <w:tc>
                <w:tcPr>
                  <w:tcW w:w="937" w:type="pct"/>
                  <w:noWrap w:val="0"/>
                  <w:vAlign w:val="center"/>
                </w:tcPr>
                <w:p>
                  <w:pPr>
                    <w:pStyle w:val="38"/>
                    <w:bidi w:val="0"/>
                    <w:rPr>
                      <w:rFonts w:hint="default"/>
                    </w:rPr>
                  </w:pPr>
                  <w:r>
                    <w:rPr>
                      <w:rFonts w:hint="default"/>
                    </w:rPr>
                    <w:t>≤1.0</w:t>
                  </w:r>
                </w:p>
              </w:tc>
              <w:tc>
                <w:tcPr>
                  <w:tcW w:w="1777" w:type="pct"/>
                  <w:noWrap w:val="0"/>
                  <w:vAlign w:val="center"/>
                </w:tcPr>
                <w:p>
                  <w:pPr>
                    <w:pStyle w:val="38"/>
                    <w:bidi w:val="0"/>
                    <w:rPr>
                      <w:rFonts w:hint="default"/>
                    </w:rPr>
                  </w:pPr>
                  <w:r>
                    <w:rPr>
                      <w:rFonts w:hint="default"/>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超标率（%）</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最大超标倍数</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restart"/>
                  <w:noWrap w:val="0"/>
                  <w:vAlign w:val="center"/>
                </w:tcPr>
                <w:p>
                  <w:pPr>
                    <w:pStyle w:val="38"/>
                    <w:bidi w:val="0"/>
                    <w:rPr>
                      <w:rFonts w:hint="default"/>
                    </w:rPr>
                  </w:pPr>
                  <w:r>
                    <w:rPr>
                      <w:rFonts w:hint="default"/>
                    </w:rPr>
                    <w:t>硒</w:t>
                  </w:r>
                </w:p>
              </w:tc>
              <w:tc>
                <w:tcPr>
                  <w:tcW w:w="1505" w:type="pct"/>
                  <w:noWrap w:val="0"/>
                  <w:vAlign w:val="center"/>
                </w:tcPr>
                <w:p>
                  <w:pPr>
                    <w:pStyle w:val="38"/>
                    <w:bidi w:val="0"/>
                    <w:rPr>
                      <w:rFonts w:hint="default"/>
                    </w:rPr>
                  </w:pPr>
                  <w:r>
                    <w:rPr>
                      <w:rFonts w:hint="default"/>
                    </w:rPr>
                    <w:t>均值</w:t>
                  </w:r>
                </w:p>
              </w:tc>
              <w:tc>
                <w:tcPr>
                  <w:tcW w:w="937" w:type="pct"/>
                  <w:noWrap w:val="0"/>
                  <w:vAlign w:val="center"/>
                </w:tcPr>
                <w:p>
                  <w:pPr>
                    <w:pStyle w:val="38"/>
                    <w:bidi w:val="0"/>
                    <w:rPr>
                      <w:rFonts w:hint="default"/>
                      <w:lang w:val="en-US" w:eastAsia="zh-CN"/>
                    </w:rPr>
                  </w:pPr>
                  <w:r>
                    <w:rPr>
                      <w:rFonts w:hint="default"/>
                      <w:lang w:val="en-US" w:eastAsia="zh-CN"/>
                    </w:rPr>
                    <w:t>0.0002</w:t>
                  </w:r>
                </w:p>
              </w:tc>
              <w:tc>
                <w:tcPr>
                  <w:tcW w:w="1777" w:type="pct"/>
                  <w:noWrap w:val="0"/>
                  <w:vAlign w:val="center"/>
                </w:tcPr>
                <w:p>
                  <w:pPr>
                    <w:pStyle w:val="38"/>
                    <w:bidi w:val="0"/>
                    <w:rPr>
                      <w:rFonts w:hint="default"/>
                      <w:lang w:val="en-US" w:eastAsia="zh-CN"/>
                    </w:rPr>
                  </w:pPr>
                  <w:r>
                    <w:rPr>
                      <w:rFonts w:hint="default"/>
                      <w:lang w:val="en-US" w:eastAsia="zh-CN"/>
                    </w:rPr>
                    <w:t>0.0002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评价标准</w:t>
                  </w:r>
                </w:p>
              </w:tc>
              <w:tc>
                <w:tcPr>
                  <w:tcW w:w="937" w:type="pct"/>
                  <w:noWrap w:val="0"/>
                  <w:vAlign w:val="center"/>
                </w:tcPr>
                <w:p>
                  <w:pPr>
                    <w:pStyle w:val="38"/>
                    <w:bidi w:val="0"/>
                    <w:rPr>
                      <w:rFonts w:hint="default"/>
                    </w:rPr>
                  </w:pPr>
                  <w:r>
                    <w:rPr>
                      <w:rFonts w:hint="default"/>
                    </w:rPr>
                    <w:t>≤0.01</w:t>
                  </w:r>
                </w:p>
              </w:tc>
              <w:tc>
                <w:tcPr>
                  <w:tcW w:w="1777" w:type="pct"/>
                  <w:noWrap w:val="0"/>
                  <w:vAlign w:val="center"/>
                </w:tcPr>
                <w:p>
                  <w:pPr>
                    <w:pStyle w:val="38"/>
                    <w:bidi w:val="0"/>
                    <w:rPr>
                      <w:rFonts w:hint="default"/>
                    </w:rPr>
                  </w:pPr>
                  <w:r>
                    <w:rPr>
                      <w:rFonts w:hint="default"/>
                    </w:rPr>
                    <w:t>≤0.01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超标率（%）</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最大超标倍数</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restart"/>
                  <w:noWrap w:val="0"/>
                  <w:vAlign w:val="center"/>
                </w:tcPr>
                <w:p>
                  <w:pPr>
                    <w:pStyle w:val="38"/>
                    <w:bidi w:val="0"/>
                    <w:rPr>
                      <w:rFonts w:hint="default"/>
                    </w:rPr>
                  </w:pPr>
                  <w:r>
                    <w:rPr>
                      <w:rFonts w:hint="default"/>
                    </w:rPr>
                    <w:t>砷</w:t>
                  </w:r>
                </w:p>
              </w:tc>
              <w:tc>
                <w:tcPr>
                  <w:tcW w:w="1505" w:type="pct"/>
                  <w:noWrap w:val="0"/>
                  <w:vAlign w:val="center"/>
                </w:tcPr>
                <w:p>
                  <w:pPr>
                    <w:pStyle w:val="38"/>
                    <w:bidi w:val="0"/>
                    <w:rPr>
                      <w:rFonts w:hint="default"/>
                    </w:rPr>
                  </w:pPr>
                  <w:r>
                    <w:rPr>
                      <w:rFonts w:hint="default"/>
                    </w:rPr>
                    <w:t>均值</w:t>
                  </w:r>
                </w:p>
              </w:tc>
              <w:tc>
                <w:tcPr>
                  <w:tcW w:w="937" w:type="pct"/>
                  <w:noWrap w:val="0"/>
                  <w:vAlign w:val="center"/>
                </w:tcPr>
                <w:p>
                  <w:pPr>
                    <w:pStyle w:val="38"/>
                    <w:bidi w:val="0"/>
                    <w:rPr>
                      <w:rFonts w:hint="default"/>
                      <w:lang w:val="en-US" w:eastAsia="zh-CN"/>
                    </w:rPr>
                  </w:pPr>
                  <w:r>
                    <w:rPr>
                      <w:rFonts w:hint="default"/>
                      <w:lang w:val="en-US" w:eastAsia="zh-CN"/>
                    </w:rPr>
                    <w:t>0.0008</w:t>
                  </w:r>
                </w:p>
              </w:tc>
              <w:tc>
                <w:tcPr>
                  <w:tcW w:w="1777" w:type="pct"/>
                  <w:noWrap w:val="0"/>
                  <w:vAlign w:val="center"/>
                </w:tcPr>
                <w:p>
                  <w:pPr>
                    <w:pStyle w:val="38"/>
                    <w:bidi w:val="0"/>
                    <w:rPr>
                      <w:rFonts w:hint="default"/>
                      <w:lang w:val="en-US" w:eastAsia="zh-CN"/>
                    </w:rPr>
                  </w:pPr>
                  <w:r>
                    <w:rPr>
                      <w:rFonts w:hint="default"/>
                      <w:lang w:val="en-US" w:eastAsia="zh-CN"/>
                    </w:rPr>
                    <w:t>0.0007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评价标准</w:t>
                  </w:r>
                </w:p>
              </w:tc>
              <w:tc>
                <w:tcPr>
                  <w:tcW w:w="937" w:type="pct"/>
                  <w:noWrap w:val="0"/>
                  <w:vAlign w:val="center"/>
                </w:tcPr>
                <w:p>
                  <w:pPr>
                    <w:pStyle w:val="38"/>
                    <w:bidi w:val="0"/>
                    <w:rPr>
                      <w:rFonts w:hint="default"/>
                    </w:rPr>
                  </w:pPr>
                  <w:r>
                    <w:rPr>
                      <w:rFonts w:hint="default"/>
                    </w:rPr>
                    <w:t>≤0.05</w:t>
                  </w:r>
                </w:p>
              </w:tc>
              <w:tc>
                <w:tcPr>
                  <w:tcW w:w="1777" w:type="pct"/>
                  <w:noWrap w:val="0"/>
                  <w:vAlign w:val="center"/>
                </w:tcPr>
                <w:p>
                  <w:pPr>
                    <w:pStyle w:val="38"/>
                    <w:bidi w:val="0"/>
                    <w:rPr>
                      <w:rFonts w:hint="default"/>
                    </w:rPr>
                  </w:pPr>
                  <w:r>
                    <w:rPr>
                      <w:rFonts w:hint="default"/>
                    </w:rPr>
                    <w:t>≤0.05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超标率（%）</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最大超标倍数</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restart"/>
                  <w:noWrap w:val="0"/>
                  <w:vAlign w:val="center"/>
                </w:tcPr>
                <w:p>
                  <w:pPr>
                    <w:pStyle w:val="38"/>
                    <w:bidi w:val="0"/>
                    <w:rPr>
                      <w:rFonts w:hint="default"/>
                    </w:rPr>
                  </w:pPr>
                  <w:r>
                    <w:rPr>
                      <w:rFonts w:hint="default"/>
                    </w:rPr>
                    <w:t>汞</w:t>
                  </w:r>
                </w:p>
              </w:tc>
              <w:tc>
                <w:tcPr>
                  <w:tcW w:w="1505" w:type="pct"/>
                  <w:noWrap w:val="0"/>
                  <w:vAlign w:val="center"/>
                </w:tcPr>
                <w:p>
                  <w:pPr>
                    <w:pStyle w:val="38"/>
                    <w:bidi w:val="0"/>
                    <w:rPr>
                      <w:rFonts w:hint="default"/>
                    </w:rPr>
                  </w:pPr>
                  <w:r>
                    <w:rPr>
                      <w:rFonts w:hint="default"/>
                    </w:rPr>
                    <w:t>均值</w:t>
                  </w:r>
                </w:p>
              </w:tc>
              <w:tc>
                <w:tcPr>
                  <w:tcW w:w="937" w:type="pct"/>
                  <w:noWrap w:val="0"/>
                  <w:vAlign w:val="center"/>
                </w:tcPr>
                <w:p>
                  <w:pPr>
                    <w:pStyle w:val="38"/>
                    <w:bidi w:val="0"/>
                    <w:rPr>
                      <w:rFonts w:hint="default"/>
                      <w:lang w:eastAsia="zh-CN"/>
                    </w:rPr>
                  </w:pPr>
                  <w:r>
                    <w:rPr>
                      <w:rFonts w:hint="default"/>
                    </w:rPr>
                    <w:t>0.0000</w:t>
                  </w:r>
                  <w:r>
                    <w:rPr>
                      <w:rFonts w:hint="default"/>
                      <w:lang w:val="en-US" w:eastAsia="zh-CN"/>
                    </w:rPr>
                    <w:t>2</w:t>
                  </w:r>
                </w:p>
              </w:tc>
              <w:tc>
                <w:tcPr>
                  <w:tcW w:w="1777" w:type="pct"/>
                  <w:noWrap w:val="0"/>
                  <w:vAlign w:val="center"/>
                </w:tcPr>
                <w:p>
                  <w:pPr>
                    <w:pStyle w:val="38"/>
                    <w:bidi w:val="0"/>
                    <w:rPr>
                      <w:rFonts w:hint="default"/>
                      <w:lang w:eastAsia="zh-CN"/>
                    </w:rPr>
                  </w:pPr>
                  <w:r>
                    <w:rPr>
                      <w:rFonts w:hint="default"/>
                    </w:rPr>
                    <w:t>0.0000</w:t>
                  </w:r>
                  <w:r>
                    <w:rPr>
                      <w:rFonts w:hint="default"/>
                      <w:lang w:val="en-US" w:eastAsia="zh-CN"/>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评价标准</w:t>
                  </w:r>
                </w:p>
              </w:tc>
              <w:tc>
                <w:tcPr>
                  <w:tcW w:w="937" w:type="pct"/>
                  <w:noWrap w:val="0"/>
                  <w:vAlign w:val="center"/>
                </w:tcPr>
                <w:p>
                  <w:pPr>
                    <w:pStyle w:val="38"/>
                    <w:bidi w:val="0"/>
                    <w:rPr>
                      <w:rFonts w:hint="default"/>
                      <w:lang w:eastAsia="zh-CN"/>
                    </w:rPr>
                  </w:pPr>
                  <w:r>
                    <w:rPr>
                      <w:rFonts w:hint="default"/>
                    </w:rPr>
                    <w:t>≤0.000</w:t>
                  </w:r>
                  <w:r>
                    <w:rPr>
                      <w:rFonts w:hint="default"/>
                      <w:lang w:val="en-US" w:eastAsia="zh-CN"/>
                    </w:rPr>
                    <w:t>1</w:t>
                  </w:r>
                </w:p>
              </w:tc>
              <w:tc>
                <w:tcPr>
                  <w:tcW w:w="1777" w:type="pct"/>
                  <w:noWrap w:val="0"/>
                  <w:vAlign w:val="center"/>
                </w:tcPr>
                <w:p>
                  <w:pPr>
                    <w:pStyle w:val="38"/>
                    <w:bidi w:val="0"/>
                    <w:rPr>
                      <w:rFonts w:hint="default"/>
                      <w:lang w:eastAsia="zh-CN"/>
                    </w:rPr>
                  </w:pPr>
                  <w:r>
                    <w:rPr>
                      <w:rFonts w:hint="default"/>
                    </w:rPr>
                    <w:t>≤0.000</w:t>
                  </w:r>
                  <w:r>
                    <w:rPr>
                      <w:rFonts w:hint="default"/>
                      <w:lang w:val="en-US" w:eastAsia="zh-CN"/>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超标率（%）</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最大超标倍数</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restart"/>
                  <w:noWrap w:val="0"/>
                  <w:vAlign w:val="center"/>
                </w:tcPr>
                <w:p>
                  <w:pPr>
                    <w:pStyle w:val="38"/>
                    <w:bidi w:val="0"/>
                    <w:rPr>
                      <w:rFonts w:hint="default"/>
                    </w:rPr>
                  </w:pPr>
                  <w:r>
                    <w:rPr>
                      <w:rFonts w:hint="default"/>
                    </w:rPr>
                    <w:t>镉</w:t>
                  </w:r>
                </w:p>
              </w:tc>
              <w:tc>
                <w:tcPr>
                  <w:tcW w:w="1505" w:type="pct"/>
                  <w:noWrap w:val="0"/>
                  <w:vAlign w:val="center"/>
                </w:tcPr>
                <w:p>
                  <w:pPr>
                    <w:pStyle w:val="38"/>
                    <w:bidi w:val="0"/>
                    <w:rPr>
                      <w:rFonts w:hint="default"/>
                    </w:rPr>
                  </w:pPr>
                  <w:r>
                    <w:rPr>
                      <w:rFonts w:hint="default"/>
                    </w:rPr>
                    <w:t>均值</w:t>
                  </w:r>
                </w:p>
              </w:tc>
              <w:tc>
                <w:tcPr>
                  <w:tcW w:w="937" w:type="pct"/>
                  <w:noWrap w:val="0"/>
                  <w:vAlign w:val="center"/>
                </w:tcPr>
                <w:p>
                  <w:pPr>
                    <w:pStyle w:val="38"/>
                    <w:bidi w:val="0"/>
                    <w:rPr>
                      <w:rFonts w:hint="default"/>
                      <w:lang w:val="en-US" w:eastAsia="zh-CN"/>
                    </w:rPr>
                  </w:pPr>
                  <w:r>
                    <w:rPr>
                      <w:rFonts w:hint="default"/>
                    </w:rPr>
                    <w:t>0.000</w:t>
                  </w:r>
                  <w:r>
                    <w:rPr>
                      <w:rFonts w:hint="default"/>
                      <w:lang w:val="en-US" w:eastAsia="zh-CN"/>
                    </w:rPr>
                    <w:t>06</w:t>
                  </w:r>
                </w:p>
              </w:tc>
              <w:tc>
                <w:tcPr>
                  <w:tcW w:w="1777" w:type="pct"/>
                  <w:noWrap w:val="0"/>
                  <w:vAlign w:val="center"/>
                </w:tcPr>
                <w:p>
                  <w:pPr>
                    <w:pStyle w:val="38"/>
                    <w:bidi w:val="0"/>
                    <w:rPr>
                      <w:rFonts w:hint="default"/>
                      <w:lang w:val="en-US" w:eastAsia="zh-CN"/>
                    </w:rPr>
                  </w:pPr>
                  <w:r>
                    <w:rPr>
                      <w:rFonts w:hint="default"/>
                    </w:rPr>
                    <w:t>0.000</w:t>
                  </w:r>
                  <w:r>
                    <w:rPr>
                      <w:rFonts w:hint="default"/>
                      <w:lang w:val="en-US" w:eastAsia="zh-CN"/>
                    </w:rPr>
                    <w:t>06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评价标准</w:t>
                  </w:r>
                </w:p>
              </w:tc>
              <w:tc>
                <w:tcPr>
                  <w:tcW w:w="937" w:type="pct"/>
                  <w:noWrap w:val="0"/>
                  <w:vAlign w:val="center"/>
                </w:tcPr>
                <w:p>
                  <w:pPr>
                    <w:pStyle w:val="38"/>
                    <w:bidi w:val="0"/>
                    <w:rPr>
                      <w:rFonts w:hint="default"/>
                    </w:rPr>
                  </w:pPr>
                  <w:r>
                    <w:rPr>
                      <w:rFonts w:hint="default"/>
                    </w:rPr>
                    <w:t>≤0.005</w:t>
                  </w:r>
                </w:p>
              </w:tc>
              <w:tc>
                <w:tcPr>
                  <w:tcW w:w="1777" w:type="pct"/>
                  <w:noWrap w:val="0"/>
                  <w:vAlign w:val="center"/>
                </w:tcPr>
                <w:p>
                  <w:pPr>
                    <w:pStyle w:val="38"/>
                    <w:bidi w:val="0"/>
                    <w:rPr>
                      <w:rFonts w:hint="default"/>
                    </w:rPr>
                  </w:pPr>
                  <w:r>
                    <w:rPr>
                      <w:rFonts w:hint="default"/>
                    </w:rPr>
                    <w:t>≤0.005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超标率（%）</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最大超标倍数</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restart"/>
                  <w:noWrap w:val="0"/>
                  <w:vAlign w:val="center"/>
                </w:tcPr>
                <w:p>
                  <w:pPr>
                    <w:pStyle w:val="38"/>
                    <w:bidi w:val="0"/>
                    <w:rPr>
                      <w:rFonts w:hint="default"/>
                    </w:rPr>
                  </w:pPr>
                  <w:r>
                    <w:rPr>
                      <w:rFonts w:hint="default"/>
                    </w:rPr>
                    <w:t>六价铬</w:t>
                  </w:r>
                </w:p>
              </w:tc>
              <w:tc>
                <w:tcPr>
                  <w:tcW w:w="1505" w:type="pct"/>
                  <w:noWrap w:val="0"/>
                  <w:vAlign w:val="center"/>
                </w:tcPr>
                <w:p>
                  <w:pPr>
                    <w:pStyle w:val="38"/>
                    <w:bidi w:val="0"/>
                    <w:rPr>
                      <w:rFonts w:hint="default"/>
                    </w:rPr>
                  </w:pPr>
                  <w:r>
                    <w:rPr>
                      <w:rFonts w:hint="default"/>
                    </w:rPr>
                    <w:t>均值</w:t>
                  </w:r>
                </w:p>
              </w:tc>
              <w:tc>
                <w:tcPr>
                  <w:tcW w:w="937" w:type="pct"/>
                  <w:noWrap w:val="0"/>
                  <w:vAlign w:val="center"/>
                </w:tcPr>
                <w:p>
                  <w:pPr>
                    <w:pStyle w:val="38"/>
                    <w:bidi w:val="0"/>
                    <w:rPr>
                      <w:rFonts w:hint="default"/>
                      <w:lang w:eastAsia="zh-CN"/>
                    </w:rPr>
                  </w:pPr>
                  <w:r>
                    <w:rPr>
                      <w:rFonts w:hint="default"/>
                    </w:rPr>
                    <w:t>0.00</w:t>
                  </w:r>
                  <w:r>
                    <w:rPr>
                      <w:rFonts w:hint="default"/>
                      <w:lang w:val="en-US" w:eastAsia="zh-CN"/>
                    </w:rPr>
                    <w:t>2</w:t>
                  </w:r>
                </w:p>
              </w:tc>
              <w:tc>
                <w:tcPr>
                  <w:tcW w:w="1777" w:type="pct"/>
                  <w:noWrap w:val="0"/>
                  <w:vAlign w:val="center"/>
                </w:tcPr>
                <w:p>
                  <w:pPr>
                    <w:pStyle w:val="38"/>
                    <w:bidi w:val="0"/>
                    <w:rPr>
                      <w:rFonts w:hint="default"/>
                      <w:lang w:eastAsia="zh-CN"/>
                    </w:rPr>
                  </w:pPr>
                  <w:r>
                    <w:rPr>
                      <w:rFonts w:hint="default"/>
                    </w:rPr>
                    <w:t>0.00</w:t>
                  </w:r>
                  <w:r>
                    <w:rPr>
                      <w:rFonts w:hint="default"/>
                      <w:lang w:val="en-US" w:eastAsia="zh-CN"/>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评价标准</w:t>
                  </w:r>
                </w:p>
              </w:tc>
              <w:tc>
                <w:tcPr>
                  <w:tcW w:w="937" w:type="pct"/>
                  <w:noWrap w:val="0"/>
                  <w:vAlign w:val="center"/>
                </w:tcPr>
                <w:p>
                  <w:pPr>
                    <w:pStyle w:val="38"/>
                    <w:bidi w:val="0"/>
                    <w:rPr>
                      <w:rFonts w:hint="default"/>
                    </w:rPr>
                  </w:pPr>
                  <w:r>
                    <w:rPr>
                      <w:rFonts w:hint="default"/>
                    </w:rPr>
                    <w:t>≤0.05</w:t>
                  </w:r>
                </w:p>
              </w:tc>
              <w:tc>
                <w:tcPr>
                  <w:tcW w:w="1777" w:type="pct"/>
                  <w:noWrap w:val="0"/>
                  <w:vAlign w:val="center"/>
                </w:tcPr>
                <w:p>
                  <w:pPr>
                    <w:pStyle w:val="38"/>
                    <w:bidi w:val="0"/>
                    <w:rPr>
                      <w:rFonts w:hint="default"/>
                    </w:rPr>
                  </w:pPr>
                  <w:r>
                    <w:rPr>
                      <w:rFonts w:hint="default"/>
                    </w:rPr>
                    <w:t>≤0.05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超标率（%）</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最大超标倍数</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restart"/>
                  <w:noWrap w:val="0"/>
                  <w:vAlign w:val="center"/>
                </w:tcPr>
                <w:p>
                  <w:pPr>
                    <w:pStyle w:val="38"/>
                    <w:bidi w:val="0"/>
                    <w:rPr>
                      <w:rFonts w:hint="default"/>
                    </w:rPr>
                  </w:pPr>
                  <w:r>
                    <w:rPr>
                      <w:rFonts w:hint="default"/>
                    </w:rPr>
                    <w:t>铅</w:t>
                  </w:r>
                </w:p>
              </w:tc>
              <w:tc>
                <w:tcPr>
                  <w:tcW w:w="1505" w:type="pct"/>
                  <w:noWrap w:val="0"/>
                  <w:vAlign w:val="center"/>
                </w:tcPr>
                <w:p>
                  <w:pPr>
                    <w:pStyle w:val="38"/>
                    <w:bidi w:val="0"/>
                    <w:rPr>
                      <w:rFonts w:hint="default"/>
                    </w:rPr>
                  </w:pPr>
                  <w:r>
                    <w:rPr>
                      <w:rFonts w:hint="default"/>
                    </w:rPr>
                    <w:t>均值</w:t>
                  </w:r>
                </w:p>
              </w:tc>
              <w:tc>
                <w:tcPr>
                  <w:tcW w:w="937" w:type="pct"/>
                  <w:noWrap w:val="0"/>
                  <w:vAlign w:val="center"/>
                </w:tcPr>
                <w:p>
                  <w:pPr>
                    <w:pStyle w:val="38"/>
                    <w:bidi w:val="0"/>
                    <w:rPr>
                      <w:rFonts w:hint="default"/>
                      <w:lang w:eastAsia="zh-CN"/>
                    </w:rPr>
                  </w:pPr>
                  <w:r>
                    <w:rPr>
                      <w:rFonts w:hint="default"/>
                    </w:rPr>
                    <w:t>0.00</w:t>
                  </w:r>
                  <w:r>
                    <w:rPr>
                      <w:rFonts w:hint="default"/>
                      <w:lang w:val="en-US" w:eastAsia="zh-CN"/>
                    </w:rPr>
                    <w:t>01</w:t>
                  </w:r>
                </w:p>
              </w:tc>
              <w:tc>
                <w:tcPr>
                  <w:tcW w:w="1777" w:type="pct"/>
                  <w:noWrap w:val="0"/>
                  <w:vAlign w:val="center"/>
                </w:tcPr>
                <w:p>
                  <w:pPr>
                    <w:pStyle w:val="38"/>
                    <w:bidi w:val="0"/>
                    <w:rPr>
                      <w:rFonts w:hint="default"/>
                      <w:lang w:val="en-US" w:eastAsia="zh-CN"/>
                    </w:rPr>
                  </w:pPr>
                  <w:r>
                    <w:rPr>
                      <w:rFonts w:hint="default"/>
                    </w:rPr>
                    <w:t>0.00</w:t>
                  </w:r>
                  <w:r>
                    <w:rPr>
                      <w:rFonts w:hint="default"/>
                      <w:lang w:val="en-US" w:eastAsia="zh-CN"/>
                    </w:rPr>
                    <w:t>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评价标准</w:t>
                  </w:r>
                </w:p>
              </w:tc>
              <w:tc>
                <w:tcPr>
                  <w:tcW w:w="937" w:type="pct"/>
                  <w:noWrap w:val="0"/>
                  <w:vAlign w:val="center"/>
                </w:tcPr>
                <w:p>
                  <w:pPr>
                    <w:pStyle w:val="38"/>
                    <w:bidi w:val="0"/>
                    <w:rPr>
                      <w:rFonts w:hint="default"/>
                      <w:lang w:eastAsia="zh-CN"/>
                    </w:rPr>
                  </w:pPr>
                  <w:r>
                    <w:rPr>
                      <w:rFonts w:hint="default"/>
                    </w:rPr>
                    <w:t>≤0.0</w:t>
                  </w:r>
                  <w:r>
                    <w:rPr>
                      <w:rFonts w:hint="default"/>
                      <w:lang w:val="en-US" w:eastAsia="zh-CN"/>
                    </w:rPr>
                    <w:t>5</w:t>
                  </w:r>
                </w:p>
              </w:tc>
              <w:tc>
                <w:tcPr>
                  <w:tcW w:w="1777" w:type="pct"/>
                  <w:noWrap w:val="0"/>
                  <w:vAlign w:val="center"/>
                </w:tcPr>
                <w:p>
                  <w:pPr>
                    <w:pStyle w:val="38"/>
                    <w:bidi w:val="0"/>
                    <w:rPr>
                      <w:rFonts w:hint="default"/>
                      <w:lang w:val="en-US" w:eastAsia="zh-CN"/>
                    </w:rPr>
                  </w:pPr>
                  <w:r>
                    <w:rPr>
                      <w:rFonts w:hint="default"/>
                    </w:rPr>
                    <w:t>≤0.0</w:t>
                  </w:r>
                  <w:r>
                    <w:rPr>
                      <w:rFonts w:hint="default"/>
                      <w:lang w:val="en-US" w:eastAsia="zh-CN"/>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超标率（%）</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最大超标倍数</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restart"/>
                  <w:noWrap w:val="0"/>
                  <w:vAlign w:val="center"/>
                </w:tcPr>
                <w:p>
                  <w:pPr>
                    <w:pStyle w:val="38"/>
                    <w:bidi w:val="0"/>
                    <w:rPr>
                      <w:rFonts w:hint="default"/>
                    </w:rPr>
                  </w:pPr>
                  <w:r>
                    <w:rPr>
                      <w:rFonts w:hint="default"/>
                    </w:rPr>
                    <w:t>氰化物</w:t>
                  </w:r>
                </w:p>
              </w:tc>
              <w:tc>
                <w:tcPr>
                  <w:tcW w:w="1505" w:type="pct"/>
                  <w:noWrap w:val="0"/>
                  <w:vAlign w:val="center"/>
                </w:tcPr>
                <w:p>
                  <w:pPr>
                    <w:pStyle w:val="38"/>
                    <w:bidi w:val="0"/>
                    <w:rPr>
                      <w:rFonts w:hint="default"/>
                    </w:rPr>
                  </w:pPr>
                  <w:r>
                    <w:rPr>
                      <w:rFonts w:hint="default"/>
                    </w:rPr>
                    <w:t>均值</w:t>
                  </w:r>
                </w:p>
              </w:tc>
              <w:tc>
                <w:tcPr>
                  <w:tcW w:w="937" w:type="pct"/>
                  <w:noWrap w:val="0"/>
                  <w:vAlign w:val="center"/>
                </w:tcPr>
                <w:p>
                  <w:pPr>
                    <w:pStyle w:val="38"/>
                    <w:bidi w:val="0"/>
                    <w:rPr>
                      <w:rFonts w:hint="default"/>
                      <w:lang w:val="en-US" w:eastAsia="zh-CN"/>
                    </w:rPr>
                  </w:pPr>
                  <w:r>
                    <w:rPr>
                      <w:rFonts w:hint="default"/>
                    </w:rPr>
                    <w:t>0.00</w:t>
                  </w:r>
                  <w:r>
                    <w:rPr>
                      <w:rFonts w:hint="default"/>
                      <w:lang w:val="en-US" w:eastAsia="zh-CN"/>
                    </w:rPr>
                    <w:t>05</w:t>
                  </w:r>
                </w:p>
              </w:tc>
              <w:tc>
                <w:tcPr>
                  <w:tcW w:w="1777" w:type="pct"/>
                  <w:noWrap w:val="0"/>
                  <w:vAlign w:val="center"/>
                </w:tcPr>
                <w:p>
                  <w:pPr>
                    <w:pStyle w:val="38"/>
                    <w:bidi w:val="0"/>
                    <w:rPr>
                      <w:rFonts w:hint="default"/>
                      <w:lang w:val="en-US" w:eastAsia="zh-CN"/>
                    </w:rPr>
                  </w:pPr>
                  <w:r>
                    <w:rPr>
                      <w:rFonts w:hint="default"/>
                    </w:rPr>
                    <w:t>0.00</w:t>
                  </w:r>
                  <w:r>
                    <w:rPr>
                      <w:rFonts w:hint="default"/>
                      <w:lang w:val="en-US" w:eastAsia="zh-CN"/>
                    </w:rPr>
                    <w:t>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评价标准</w:t>
                  </w:r>
                </w:p>
              </w:tc>
              <w:tc>
                <w:tcPr>
                  <w:tcW w:w="937" w:type="pct"/>
                  <w:noWrap w:val="0"/>
                  <w:vAlign w:val="center"/>
                </w:tcPr>
                <w:p>
                  <w:pPr>
                    <w:pStyle w:val="38"/>
                    <w:bidi w:val="0"/>
                    <w:rPr>
                      <w:rFonts w:hint="default"/>
                      <w:lang w:eastAsia="zh-CN"/>
                    </w:rPr>
                  </w:pPr>
                  <w:r>
                    <w:rPr>
                      <w:rFonts w:hint="default"/>
                    </w:rPr>
                    <w:t>≤0.</w:t>
                  </w:r>
                  <w:r>
                    <w:rPr>
                      <w:rFonts w:hint="default"/>
                      <w:lang w:val="en-US" w:eastAsia="zh-CN"/>
                    </w:rPr>
                    <w:t>2</w:t>
                  </w:r>
                </w:p>
              </w:tc>
              <w:tc>
                <w:tcPr>
                  <w:tcW w:w="1777" w:type="pct"/>
                  <w:noWrap w:val="0"/>
                  <w:vAlign w:val="center"/>
                </w:tcPr>
                <w:p>
                  <w:pPr>
                    <w:pStyle w:val="38"/>
                    <w:bidi w:val="0"/>
                    <w:rPr>
                      <w:rFonts w:hint="default"/>
                      <w:lang w:eastAsia="zh-CN"/>
                    </w:rPr>
                  </w:pPr>
                  <w:r>
                    <w:rPr>
                      <w:rFonts w:hint="default"/>
                    </w:rPr>
                    <w:t>≤0.</w:t>
                  </w:r>
                  <w:r>
                    <w:rPr>
                      <w:rFonts w:hint="default"/>
                      <w:lang w:val="en-US" w:eastAsia="zh-CN"/>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超标率（%）</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最大超标倍数</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restart"/>
                  <w:noWrap w:val="0"/>
                  <w:vAlign w:val="center"/>
                </w:tcPr>
                <w:p>
                  <w:pPr>
                    <w:pStyle w:val="38"/>
                    <w:bidi w:val="0"/>
                    <w:rPr>
                      <w:rFonts w:hint="default"/>
                    </w:rPr>
                  </w:pPr>
                  <w:r>
                    <w:rPr>
                      <w:rFonts w:hint="default"/>
                    </w:rPr>
                    <w:t>挥发酚</w:t>
                  </w:r>
                </w:p>
              </w:tc>
              <w:tc>
                <w:tcPr>
                  <w:tcW w:w="1505" w:type="pct"/>
                  <w:noWrap w:val="0"/>
                  <w:vAlign w:val="center"/>
                </w:tcPr>
                <w:p>
                  <w:pPr>
                    <w:pStyle w:val="38"/>
                    <w:bidi w:val="0"/>
                    <w:rPr>
                      <w:rFonts w:hint="default"/>
                    </w:rPr>
                  </w:pPr>
                  <w:r>
                    <w:rPr>
                      <w:rFonts w:hint="default"/>
                    </w:rPr>
                    <w:t>均值</w:t>
                  </w:r>
                </w:p>
              </w:tc>
              <w:tc>
                <w:tcPr>
                  <w:tcW w:w="937" w:type="pct"/>
                  <w:noWrap w:val="0"/>
                  <w:vAlign w:val="center"/>
                </w:tcPr>
                <w:p>
                  <w:pPr>
                    <w:pStyle w:val="38"/>
                    <w:bidi w:val="0"/>
                    <w:rPr>
                      <w:rFonts w:hint="default"/>
                      <w:lang w:eastAsia="zh-CN"/>
                    </w:rPr>
                  </w:pPr>
                  <w:r>
                    <w:rPr>
                      <w:rFonts w:hint="default"/>
                    </w:rPr>
                    <w:t>0.000</w:t>
                  </w:r>
                  <w:r>
                    <w:rPr>
                      <w:rFonts w:hint="default"/>
                      <w:lang w:val="en-US" w:eastAsia="zh-CN"/>
                    </w:rPr>
                    <w:t>2</w:t>
                  </w:r>
                </w:p>
              </w:tc>
              <w:tc>
                <w:tcPr>
                  <w:tcW w:w="1777" w:type="pct"/>
                  <w:noWrap w:val="0"/>
                  <w:vAlign w:val="center"/>
                </w:tcPr>
                <w:p>
                  <w:pPr>
                    <w:pStyle w:val="38"/>
                    <w:bidi w:val="0"/>
                    <w:rPr>
                      <w:rFonts w:hint="default"/>
                      <w:lang w:eastAsia="zh-CN"/>
                    </w:rPr>
                  </w:pPr>
                  <w:r>
                    <w:rPr>
                      <w:rFonts w:hint="default"/>
                    </w:rPr>
                    <w:t>0.000</w:t>
                  </w:r>
                  <w:r>
                    <w:rPr>
                      <w:rFonts w:hint="default"/>
                      <w:lang w:val="en-US" w:eastAsia="zh-CN"/>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评价标准</w:t>
                  </w:r>
                </w:p>
              </w:tc>
              <w:tc>
                <w:tcPr>
                  <w:tcW w:w="937" w:type="pct"/>
                  <w:noWrap w:val="0"/>
                  <w:vAlign w:val="center"/>
                </w:tcPr>
                <w:p>
                  <w:pPr>
                    <w:pStyle w:val="38"/>
                    <w:bidi w:val="0"/>
                    <w:rPr>
                      <w:rFonts w:hint="default"/>
                      <w:lang w:eastAsia="zh-CN"/>
                    </w:rPr>
                  </w:pPr>
                  <w:r>
                    <w:rPr>
                      <w:rFonts w:hint="default"/>
                    </w:rPr>
                    <w:t>≤0.00</w:t>
                  </w:r>
                  <w:r>
                    <w:rPr>
                      <w:rFonts w:hint="default"/>
                      <w:lang w:val="en-US" w:eastAsia="zh-CN"/>
                    </w:rPr>
                    <w:t>5</w:t>
                  </w:r>
                </w:p>
              </w:tc>
              <w:tc>
                <w:tcPr>
                  <w:tcW w:w="1777" w:type="pct"/>
                  <w:noWrap w:val="0"/>
                  <w:vAlign w:val="center"/>
                </w:tcPr>
                <w:p>
                  <w:pPr>
                    <w:pStyle w:val="38"/>
                    <w:bidi w:val="0"/>
                    <w:rPr>
                      <w:rFonts w:hint="default"/>
                      <w:lang w:eastAsia="zh-CN"/>
                    </w:rPr>
                  </w:pPr>
                  <w:r>
                    <w:rPr>
                      <w:rFonts w:hint="default"/>
                    </w:rPr>
                    <w:t>≤0.00</w:t>
                  </w:r>
                  <w:r>
                    <w:rPr>
                      <w:rFonts w:hint="default"/>
                      <w:lang w:val="en-US" w:eastAsia="zh-CN"/>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超标率（%）</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最大超标倍数</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restart"/>
                  <w:noWrap w:val="0"/>
                  <w:vAlign w:val="center"/>
                </w:tcPr>
                <w:p>
                  <w:pPr>
                    <w:pStyle w:val="38"/>
                    <w:bidi w:val="0"/>
                    <w:rPr>
                      <w:rFonts w:hint="default"/>
                    </w:rPr>
                  </w:pPr>
                  <w:r>
                    <w:rPr>
                      <w:rFonts w:hint="default"/>
                    </w:rPr>
                    <w:t>石油类</w:t>
                  </w:r>
                </w:p>
              </w:tc>
              <w:tc>
                <w:tcPr>
                  <w:tcW w:w="1505" w:type="pct"/>
                  <w:noWrap w:val="0"/>
                  <w:vAlign w:val="center"/>
                </w:tcPr>
                <w:p>
                  <w:pPr>
                    <w:pStyle w:val="38"/>
                    <w:bidi w:val="0"/>
                    <w:rPr>
                      <w:rFonts w:hint="default"/>
                    </w:rPr>
                  </w:pPr>
                  <w:r>
                    <w:rPr>
                      <w:rFonts w:hint="default"/>
                    </w:rPr>
                    <w:t>均值</w:t>
                  </w:r>
                </w:p>
              </w:tc>
              <w:tc>
                <w:tcPr>
                  <w:tcW w:w="937" w:type="pct"/>
                  <w:noWrap w:val="0"/>
                  <w:vAlign w:val="center"/>
                </w:tcPr>
                <w:p>
                  <w:pPr>
                    <w:pStyle w:val="38"/>
                    <w:bidi w:val="0"/>
                    <w:rPr>
                      <w:rFonts w:hint="default"/>
                      <w:lang w:val="en-US" w:eastAsia="zh-CN"/>
                    </w:rPr>
                  </w:pPr>
                  <w:r>
                    <w:rPr>
                      <w:rFonts w:hint="default"/>
                      <w:lang w:val="en-US" w:eastAsia="zh-CN"/>
                    </w:rPr>
                    <w:t>0.005</w:t>
                  </w:r>
                </w:p>
              </w:tc>
              <w:tc>
                <w:tcPr>
                  <w:tcW w:w="1777" w:type="pct"/>
                  <w:noWrap w:val="0"/>
                  <w:vAlign w:val="center"/>
                </w:tcPr>
                <w:p>
                  <w:pPr>
                    <w:pStyle w:val="38"/>
                    <w:bidi w:val="0"/>
                    <w:rPr>
                      <w:rFonts w:hint="default"/>
                      <w:lang w:val="en-US" w:eastAsia="zh-CN"/>
                    </w:rPr>
                  </w:pPr>
                  <w:r>
                    <w:rPr>
                      <w:rFonts w:hint="default"/>
                      <w:lang w:val="en-US" w:eastAsia="zh-CN"/>
                    </w:rPr>
                    <w:t>0.005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评价标准</w:t>
                  </w:r>
                </w:p>
              </w:tc>
              <w:tc>
                <w:tcPr>
                  <w:tcW w:w="937" w:type="pct"/>
                  <w:noWrap w:val="0"/>
                  <w:vAlign w:val="center"/>
                </w:tcPr>
                <w:p>
                  <w:pPr>
                    <w:pStyle w:val="38"/>
                    <w:bidi w:val="0"/>
                    <w:rPr>
                      <w:rFonts w:hint="default"/>
                    </w:rPr>
                  </w:pPr>
                  <w:r>
                    <w:rPr>
                      <w:rFonts w:hint="default"/>
                    </w:rPr>
                    <w:t>≤0.05</w:t>
                  </w:r>
                </w:p>
              </w:tc>
              <w:tc>
                <w:tcPr>
                  <w:tcW w:w="1777" w:type="pct"/>
                  <w:noWrap w:val="0"/>
                  <w:vAlign w:val="center"/>
                </w:tcPr>
                <w:p>
                  <w:pPr>
                    <w:pStyle w:val="38"/>
                    <w:bidi w:val="0"/>
                    <w:rPr>
                      <w:rFonts w:hint="default"/>
                    </w:rPr>
                  </w:pPr>
                  <w:r>
                    <w:rPr>
                      <w:rFonts w:hint="default"/>
                    </w:rPr>
                    <w:t>≤0.05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超标率（%）</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最大超标倍数</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restart"/>
                  <w:noWrap w:val="0"/>
                  <w:vAlign w:val="center"/>
                </w:tcPr>
                <w:p>
                  <w:pPr>
                    <w:pStyle w:val="38"/>
                    <w:bidi w:val="0"/>
                    <w:rPr>
                      <w:rFonts w:hint="default"/>
                    </w:rPr>
                  </w:pPr>
                  <w:r>
                    <w:rPr>
                      <w:rFonts w:hint="default"/>
                    </w:rPr>
                    <w:t>阴离子表面活性剂</w:t>
                  </w:r>
                </w:p>
              </w:tc>
              <w:tc>
                <w:tcPr>
                  <w:tcW w:w="1505" w:type="pct"/>
                  <w:noWrap w:val="0"/>
                  <w:vAlign w:val="center"/>
                </w:tcPr>
                <w:p>
                  <w:pPr>
                    <w:pStyle w:val="38"/>
                    <w:bidi w:val="0"/>
                    <w:rPr>
                      <w:rFonts w:hint="default"/>
                    </w:rPr>
                  </w:pPr>
                  <w:r>
                    <w:rPr>
                      <w:rFonts w:hint="default"/>
                    </w:rPr>
                    <w:t>均值</w:t>
                  </w:r>
                </w:p>
              </w:tc>
              <w:tc>
                <w:tcPr>
                  <w:tcW w:w="937" w:type="pct"/>
                  <w:noWrap w:val="0"/>
                  <w:vAlign w:val="center"/>
                </w:tcPr>
                <w:p>
                  <w:pPr>
                    <w:pStyle w:val="38"/>
                    <w:bidi w:val="0"/>
                    <w:rPr>
                      <w:rFonts w:hint="default"/>
                      <w:lang w:eastAsia="zh-CN"/>
                    </w:rPr>
                  </w:pPr>
                  <w:r>
                    <w:rPr>
                      <w:rFonts w:hint="default"/>
                    </w:rPr>
                    <w:t>0.0</w:t>
                  </w:r>
                  <w:r>
                    <w:rPr>
                      <w:rFonts w:hint="default"/>
                      <w:lang w:val="en-US" w:eastAsia="zh-CN"/>
                    </w:rPr>
                    <w:t>2</w:t>
                  </w:r>
                </w:p>
              </w:tc>
              <w:tc>
                <w:tcPr>
                  <w:tcW w:w="1777" w:type="pct"/>
                  <w:noWrap w:val="0"/>
                  <w:vAlign w:val="center"/>
                </w:tcPr>
                <w:p>
                  <w:pPr>
                    <w:pStyle w:val="38"/>
                    <w:bidi w:val="0"/>
                    <w:rPr>
                      <w:rFonts w:hint="default"/>
                      <w:lang w:eastAsia="zh-CN"/>
                    </w:rPr>
                  </w:pPr>
                  <w:r>
                    <w:rPr>
                      <w:rFonts w:hint="default"/>
                    </w:rPr>
                    <w:t>0.0</w:t>
                  </w:r>
                  <w:r>
                    <w:rPr>
                      <w:rFonts w:hint="default"/>
                      <w:lang w:val="en-US" w:eastAsia="zh-CN"/>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评价标准</w:t>
                  </w:r>
                </w:p>
              </w:tc>
              <w:tc>
                <w:tcPr>
                  <w:tcW w:w="937" w:type="pct"/>
                  <w:noWrap w:val="0"/>
                  <w:vAlign w:val="center"/>
                </w:tcPr>
                <w:p>
                  <w:pPr>
                    <w:pStyle w:val="38"/>
                    <w:bidi w:val="0"/>
                    <w:rPr>
                      <w:rFonts w:hint="default"/>
                    </w:rPr>
                  </w:pPr>
                  <w:r>
                    <w:rPr>
                      <w:rFonts w:hint="default"/>
                    </w:rPr>
                    <w:t>≤0.2</w:t>
                  </w:r>
                </w:p>
              </w:tc>
              <w:tc>
                <w:tcPr>
                  <w:tcW w:w="1777" w:type="pct"/>
                  <w:noWrap w:val="0"/>
                  <w:vAlign w:val="center"/>
                </w:tcPr>
                <w:p>
                  <w:pPr>
                    <w:pStyle w:val="38"/>
                    <w:bidi w:val="0"/>
                    <w:rPr>
                      <w:rFonts w:hint="default"/>
                    </w:rPr>
                  </w:pPr>
                  <w:r>
                    <w:rPr>
                      <w:rFonts w:hint="default"/>
                    </w:rPr>
                    <w:t>≤0.2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超标率（%）</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最大超标倍数</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restart"/>
                  <w:noWrap w:val="0"/>
                  <w:vAlign w:val="center"/>
                </w:tcPr>
                <w:p>
                  <w:pPr>
                    <w:pStyle w:val="38"/>
                    <w:bidi w:val="0"/>
                    <w:rPr>
                      <w:rFonts w:hint="default"/>
                    </w:rPr>
                  </w:pPr>
                  <w:r>
                    <w:rPr>
                      <w:rFonts w:hint="default"/>
                    </w:rPr>
                    <w:t>硫化物</w:t>
                  </w:r>
                </w:p>
              </w:tc>
              <w:tc>
                <w:tcPr>
                  <w:tcW w:w="1505" w:type="pct"/>
                  <w:noWrap w:val="0"/>
                  <w:vAlign w:val="center"/>
                </w:tcPr>
                <w:p>
                  <w:pPr>
                    <w:pStyle w:val="38"/>
                    <w:bidi w:val="0"/>
                    <w:rPr>
                      <w:rFonts w:hint="default"/>
                    </w:rPr>
                  </w:pPr>
                  <w:r>
                    <w:rPr>
                      <w:rFonts w:hint="default"/>
                    </w:rPr>
                    <w:t>均值</w:t>
                  </w:r>
                </w:p>
              </w:tc>
              <w:tc>
                <w:tcPr>
                  <w:tcW w:w="937" w:type="pct"/>
                  <w:noWrap w:val="0"/>
                  <w:vAlign w:val="center"/>
                </w:tcPr>
                <w:p>
                  <w:pPr>
                    <w:pStyle w:val="38"/>
                    <w:bidi w:val="0"/>
                    <w:rPr>
                      <w:rFonts w:hint="default"/>
                      <w:lang w:eastAsia="zh-CN"/>
                    </w:rPr>
                  </w:pPr>
                  <w:r>
                    <w:rPr>
                      <w:rFonts w:hint="default"/>
                    </w:rPr>
                    <w:t>0.00</w:t>
                  </w:r>
                  <w:r>
                    <w:rPr>
                      <w:rFonts w:hint="default"/>
                      <w:lang w:val="en-US" w:eastAsia="zh-CN"/>
                    </w:rPr>
                    <w:t>2</w:t>
                  </w:r>
                </w:p>
              </w:tc>
              <w:tc>
                <w:tcPr>
                  <w:tcW w:w="1777" w:type="pct"/>
                  <w:noWrap w:val="0"/>
                  <w:vAlign w:val="center"/>
                </w:tcPr>
                <w:p>
                  <w:pPr>
                    <w:pStyle w:val="38"/>
                    <w:bidi w:val="0"/>
                    <w:rPr>
                      <w:rFonts w:hint="default"/>
                      <w:lang w:eastAsia="zh-CN"/>
                    </w:rPr>
                  </w:pPr>
                  <w:r>
                    <w:rPr>
                      <w:rFonts w:hint="default"/>
                    </w:rPr>
                    <w:t>0.00</w:t>
                  </w:r>
                  <w:r>
                    <w:rPr>
                      <w:rFonts w:hint="default"/>
                      <w:lang w:val="en-US" w:eastAsia="zh-CN"/>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评价标准</w:t>
                  </w:r>
                </w:p>
              </w:tc>
              <w:tc>
                <w:tcPr>
                  <w:tcW w:w="937" w:type="pct"/>
                  <w:noWrap w:val="0"/>
                  <w:vAlign w:val="center"/>
                </w:tcPr>
                <w:p>
                  <w:pPr>
                    <w:pStyle w:val="38"/>
                    <w:bidi w:val="0"/>
                    <w:rPr>
                      <w:rFonts w:hint="default"/>
                    </w:rPr>
                  </w:pPr>
                  <w:r>
                    <w:rPr>
                      <w:rFonts w:hint="default"/>
                    </w:rPr>
                    <w:t>≤0.1</w:t>
                  </w:r>
                </w:p>
              </w:tc>
              <w:tc>
                <w:tcPr>
                  <w:tcW w:w="1777" w:type="pct"/>
                  <w:noWrap w:val="0"/>
                  <w:vAlign w:val="center"/>
                </w:tcPr>
                <w:p>
                  <w:pPr>
                    <w:pStyle w:val="38"/>
                    <w:bidi w:val="0"/>
                    <w:rPr>
                      <w:rFonts w:hint="default"/>
                      <w:lang w:eastAsia="zh-CN"/>
                    </w:rPr>
                  </w:pPr>
                  <w:r>
                    <w:rPr>
                      <w:rFonts w:hint="default"/>
                    </w:rPr>
                    <w:t>≤0.</w:t>
                  </w:r>
                  <w:r>
                    <w:rPr>
                      <w:rFonts w:hint="default"/>
                      <w:lang w:val="en-US" w:eastAsia="zh-CN"/>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超标率（%）</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9" w:type="pct"/>
                  <w:vMerge w:val="continue"/>
                  <w:noWrap w:val="0"/>
                  <w:vAlign w:val="center"/>
                </w:tcPr>
                <w:p>
                  <w:pPr>
                    <w:pStyle w:val="38"/>
                    <w:bidi w:val="0"/>
                    <w:rPr>
                      <w:rFonts w:hint="default"/>
                    </w:rPr>
                  </w:pPr>
                </w:p>
              </w:tc>
              <w:tc>
                <w:tcPr>
                  <w:tcW w:w="1505" w:type="pct"/>
                  <w:noWrap w:val="0"/>
                  <w:vAlign w:val="center"/>
                </w:tcPr>
                <w:p>
                  <w:pPr>
                    <w:pStyle w:val="38"/>
                    <w:bidi w:val="0"/>
                    <w:rPr>
                      <w:rFonts w:hint="default"/>
                    </w:rPr>
                  </w:pPr>
                  <w:r>
                    <w:rPr>
                      <w:rFonts w:hint="default"/>
                    </w:rPr>
                    <w:t>最大超标倍数</w:t>
                  </w:r>
                </w:p>
              </w:tc>
              <w:tc>
                <w:tcPr>
                  <w:tcW w:w="937" w:type="pct"/>
                  <w:noWrap w:val="0"/>
                  <w:vAlign w:val="center"/>
                </w:tcPr>
                <w:p>
                  <w:pPr>
                    <w:pStyle w:val="38"/>
                    <w:bidi w:val="0"/>
                    <w:rPr>
                      <w:rFonts w:hint="default"/>
                    </w:rPr>
                  </w:pPr>
                  <w:r>
                    <w:rPr>
                      <w:rFonts w:hint="default"/>
                    </w:rPr>
                    <w:t>0</w:t>
                  </w:r>
                </w:p>
              </w:tc>
              <w:tc>
                <w:tcPr>
                  <w:tcW w:w="1777" w:type="pct"/>
                  <w:noWrap w:val="0"/>
                  <w:vAlign w:val="center"/>
                </w:tcPr>
                <w:p>
                  <w:pPr>
                    <w:pStyle w:val="38"/>
                    <w:bidi w:val="0"/>
                    <w:rPr>
                      <w:rFonts w:hint="default"/>
                    </w:rPr>
                  </w:pPr>
                  <w:r>
                    <w:rPr>
                      <w:rFonts w:hint="default"/>
                    </w:rPr>
                    <w:t>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u w:val="none"/>
              </w:rPr>
            </w:pPr>
            <w:r>
              <w:rPr>
                <w:sz w:val="24"/>
                <w:szCs w:val="24"/>
              </w:rPr>
              <w:t>由</w:t>
            </w:r>
            <w:r>
              <w:rPr>
                <w:rFonts w:hint="eastAsia"/>
                <w:sz w:val="24"/>
                <w:szCs w:val="24"/>
              </w:rPr>
              <w:t>上表</w:t>
            </w:r>
            <w:r>
              <w:rPr>
                <w:sz w:val="24"/>
                <w:szCs w:val="24"/>
              </w:rPr>
              <w:t>可知，</w:t>
            </w:r>
            <w:r>
              <w:rPr>
                <w:rFonts w:hint="eastAsia"/>
                <w:sz w:val="24"/>
                <w:szCs w:val="24"/>
                <w:lang w:eastAsia="zh-CN"/>
              </w:rPr>
              <w:t>北园</w:t>
            </w:r>
            <w:r>
              <w:rPr>
                <w:rFonts w:hint="eastAsia"/>
                <w:sz w:val="24"/>
                <w:szCs w:val="24"/>
              </w:rPr>
              <w:t>水厂、</w:t>
            </w:r>
            <w:r>
              <w:rPr>
                <w:rFonts w:hint="eastAsia"/>
                <w:sz w:val="24"/>
                <w:szCs w:val="24"/>
                <w:lang w:eastAsia="zh-CN"/>
              </w:rPr>
              <w:t>庄上</w:t>
            </w:r>
            <w:r>
              <w:rPr>
                <w:rFonts w:hint="eastAsia"/>
                <w:sz w:val="24"/>
                <w:szCs w:val="24"/>
              </w:rPr>
              <w:t>断面监测因子</w:t>
            </w:r>
            <w:r>
              <w:rPr>
                <w:sz w:val="24"/>
                <w:szCs w:val="24"/>
              </w:rPr>
              <w:t>均符合《地表水环境质量标准》（GB3838-2002）</w:t>
            </w:r>
            <w:r>
              <w:rPr>
                <w:rFonts w:hint="eastAsia"/>
                <w:sz w:val="24"/>
                <w:szCs w:val="24"/>
              </w:rPr>
              <w:t>Ⅲ</w:t>
            </w:r>
            <w:r>
              <w:rPr>
                <w:sz w:val="24"/>
                <w:szCs w:val="24"/>
              </w:rPr>
              <w:t>类标准要求</w:t>
            </w:r>
            <w:r>
              <w:rPr>
                <w:rFonts w:hint="eastAsia"/>
                <w:sz w:val="24"/>
                <w:szCs w:val="24"/>
              </w:rPr>
              <w:t>。</w:t>
            </w:r>
          </w:p>
          <w:p>
            <w:pPr>
              <w:pStyle w:val="9"/>
              <w:spacing w:before="192" w:after="192"/>
            </w:pPr>
            <w:bookmarkStart w:id="34" w:name="_Toc12907"/>
            <w:bookmarkStart w:id="35" w:name="_Toc6455"/>
            <w:bookmarkStart w:id="36" w:name="_Toc7773"/>
            <w:r>
              <w:rPr>
                <w:rFonts w:hint="eastAsia"/>
                <w:lang w:val="en-US" w:eastAsia="zh-CN"/>
              </w:rPr>
              <w:t xml:space="preserve">3.1.3 </w:t>
            </w:r>
            <w:r>
              <w:t>声环境</w:t>
            </w:r>
            <w:bookmarkEnd w:id="34"/>
            <w:bookmarkEnd w:id="35"/>
            <w:bookmarkEnd w:id="36"/>
          </w:p>
          <w:p>
            <w:pPr>
              <w:ind w:firstLine="480"/>
              <w:jc w:val="both"/>
              <w:rPr>
                <w:rFonts w:hint="default" w:eastAsia="宋体" w:cs="Times New Roman"/>
                <w:u w:val="none"/>
                <w:lang w:val="en-US" w:eastAsia="zh-CN"/>
              </w:rPr>
            </w:pPr>
            <w:r>
              <w:rPr>
                <w:rFonts w:hint="eastAsia" w:cs="Times New Roman"/>
                <w:u w:val="none"/>
                <w:lang w:eastAsia="zh-CN"/>
              </w:rPr>
              <w:t>根据《建设项目环境影响报告表编制技术指南（污染影响类）》，厂界外周边50米范围内存在声环境保护目标的建设项目，应监测保护目标声环境质量现状并评价达标情况，本项目选址周边最近居民点为东南侧约</w:t>
            </w:r>
            <w:r>
              <w:rPr>
                <w:rFonts w:hint="eastAsia" w:cs="Times New Roman"/>
                <w:u w:val="none"/>
                <w:lang w:val="en-US" w:eastAsia="zh-CN"/>
              </w:rPr>
              <w:t>880</w:t>
            </w:r>
            <w:r>
              <w:rPr>
                <w:rFonts w:hint="eastAsia" w:cs="Times New Roman"/>
                <w:u w:val="none"/>
                <w:lang w:eastAsia="zh-CN"/>
              </w:rPr>
              <w:t>米的十里牌村散户</w:t>
            </w:r>
            <w:r>
              <w:rPr>
                <w:rFonts w:hint="eastAsia" w:cs="Times New Roman"/>
                <w:u w:val="none"/>
                <w:lang w:val="en-US" w:eastAsia="zh-CN"/>
              </w:rPr>
              <w:t>，故不检测。</w:t>
            </w:r>
          </w:p>
          <w:p>
            <w:pPr>
              <w:pStyle w:val="9"/>
              <w:spacing w:before="192" w:after="192"/>
              <w:rPr>
                <w:u w:val="none"/>
              </w:rPr>
            </w:pPr>
            <w:r>
              <w:rPr>
                <w:rFonts w:hint="eastAsia"/>
                <w:u w:val="none"/>
                <w:lang w:val="en-US" w:eastAsia="zh-CN"/>
              </w:rPr>
              <w:t xml:space="preserve">3.1.4 </w:t>
            </w:r>
            <w:r>
              <w:rPr>
                <w:u w:val="none"/>
              </w:rPr>
              <w:t>生态环境质量</w:t>
            </w:r>
          </w:p>
          <w:p>
            <w:pPr>
              <w:pStyle w:val="29"/>
              <w:spacing w:before="0" w:beforeLines="0"/>
              <w:ind w:firstLine="480"/>
              <w:rPr>
                <w:rFonts w:hint="eastAsia" w:ascii="Times New Roman" w:hAnsi="Times New Roman"/>
              </w:rPr>
            </w:pPr>
            <w:r>
              <w:rPr>
                <w:rFonts w:ascii="Times New Roman" w:hAnsi="Times New Roman"/>
                <w:bCs/>
              </w:rPr>
              <w:t>本项目拟建地位于湘西州</w:t>
            </w:r>
            <w:r>
              <w:rPr>
                <w:rFonts w:hint="eastAsia"/>
                <w:bCs/>
                <w:lang w:eastAsia="zh-CN"/>
              </w:rPr>
              <w:t>凤凰县沱江镇高峰村</w:t>
            </w:r>
            <w:r>
              <w:rPr>
                <w:rFonts w:ascii="Times New Roman" w:hAnsi="Times New Roman"/>
                <w:bCs/>
              </w:rPr>
              <w:t>。</w:t>
            </w:r>
            <w:r>
              <w:rPr>
                <w:rFonts w:hint="eastAsia" w:ascii="Times New Roman" w:hAnsi="Times New Roman"/>
                <w:bCs/>
                <w:lang w:eastAsia="zh-CN"/>
              </w:rPr>
              <w:t>项目拟建地</w:t>
            </w:r>
            <w:r>
              <w:rPr>
                <w:rFonts w:hint="eastAsia" w:ascii="Times New Roman" w:hAnsi="Times New Roman"/>
              </w:rPr>
              <w:t>周围野生动物较少，未发现珍稀濒危动植物，生物多样性一般。该地区植被发育程度较低，土质为黄壤，但是完全裸露的地表较少，水土流失程度一般。</w:t>
            </w:r>
          </w:p>
          <w:p>
            <w:pPr>
              <w:ind w:firstLine="480"/>
              <w:jc w:val="both"/>
            </w:pPr>
            <w:r>
              <w:rPr>
                <w:rFonts w:hint="eastAsia" w:ascii="Times New Roman" w:hAnsi="Times New Roman"/>
              </w:rPr>
              <w:t>区域野生动物较少，主要为常见的鼠、麻雀、青蛙、斑鸠等；家畜主要有猪、鸡、牛、羊、鸭等；水生鱼类有草鱼、鲢鱼、鲫鱼等，据调查未发现珍稀动物物种。经初步调查，未发现名木古树、珍稀濒危动植物物种和其它需要特殊保护的树种</w:t>
            </w:r>
            <w:r>
              <w:t>。</w:t>
            </w:r>
          </w:p>
          <w:p>
            <w:pPr>
              <w:pStyle w:val="8"/>
              <w:ind w:left="0" w:leftChars="0" w:firstLine="0" w:firstLineChars="0"/>
              <w:rPr>
                <w:b/>
                <w:bCs/>
                <w:lang w:val="en-US"/>
              </w:rPr>
            </w:pPr>
            <w:r>
              <w:rPr>
                <w:rFonts w:hint="eastAsia"/>
                <w:b/>
                <w:bCs/>
                <w:lang w:val="en-US" w:eastAsia="zh-CN"/>
              </w:rPr>
              <w:t xml:space="preserve">3.1.5 </w:t>
            </w:r>
            <w:r>
              <w:rPr>
                <w:rFonts w:hint="eastAsia"/>
                <w:b/>
                <w:bCs/>
                <w:lang w:val="en-US"/>
              </w:rPr>
              <w:t>生态环境</w:t>
            </w:r>
          </w:p>
          <w:p>
            <w:pPr>
              <w:ind w:firstLine="480"/>
              <w:rPr>
                <w:lang w:val="en-US"/>
              </w:rPr>
            </w:pPr>
            <w:r>
              <w:rPr>
                <w:rFonts w:hint="eastAsia" w:ascii="宋体" w:hAnsi="宋体" w:cs="宋体"/>
                <w:color w:val="auto"/>
                <w:spacing w:val="0"/>
                <w:kern w:val="21"/>
                <w:szCs w:val="21"/>
                <w:lang w:eastAsia="zh-CN"/>
              </w:rPr>
              <w:t>根据《建设项目环境影响报告表编制指南（污染影响类）》（试行）要求，产业园区外建设项目新增用地且用地范围内含有生态环境保护目标时，应进行生态现状调查，</w:t>
            </w:r>
            <w:r>
              <w:rPr>
                <w:rFonts w:hint="eastAsia"/>
                <w:color w:val="auto"/>
                <w:lang w:val="en-US"/>
              </w:rPr>
              <w:t>本项目</w:t>
            </w:r>
            <w:r>
              <w:rPr>
                <w:rFonts w:hint="eastAsia"/>
                <w:color w:val="auto"/>
                <w:lang w:val="en-US" w:eastAsia="zh-CN"/>
              </w:rPr>
              <w:t>不在</w:t>
            </w:r>
            <w:r>
              <w:rPr>
                <w:rFonts w:hint="eastAsia" w:ascii="宋体" w:hAnsi="宋体" w:cs="宋体"/>
                <w:color w:val="auto"/>
                <w:spacing w:val="0"/>
                <w:kern w:val="21"/>
                <w:szCs w:val="21"/>
              </w:rPr>
              <w:t>产业园区</w:t>
            </w:r>
            <w:r>
              <w:rPr>
                <w:rFonts w:hint="eastAsia" w:ascii="宋体" w:hAnsi="宋体" w:cs="宋体"/>
                <w:color w:val="auto"/>
                <w:spacing w:val="0"/>
                <w:kern w:val="21"/>
                <w:szCs w:val="21"/>
                <w:lang w:eastAsia="zh-CN"/>
              </w:rPr>
              <w:t>内，属于</w:t>
            </w:r>
            <w:r>
              <w:rPr>
                <w:rFonts w:hint="eastAsia" w:ascii="宋体" w:hAnsi="宋体" w:cs="宋体"/>
                <w:color w:val="auto"/>
                <w:spacing w:val="0"/>
                <w:kern w:val="21"/>
                <w:szCs w:val="21"/>
              </w:rPr>
              <w:t>新增用地</w:t>
            </w:r>
            <w:r>
              <w:rPr>
                <w:rFonts w:hint="eastAsia" w:ascii="宋体" w:hAnsi="宋体" w:cs="宋体"/>
                <w:color w:val="auto"/>
                <w:spacing w:val="0"/>
                <w:kern w:val="21"/>
                <w:szCs w:val="21"/>
                <w:lang w:eastAsia="zh-CN"/>
              </w:rPr>
              <w:t>，项目用地原来作为修建</w:t>
            </w:r>
            <w:r>
              <w:rPr>
                <w:rFonts w:hint="eastAsia" w:ascii="宋体" w:hAnsi="宋体" w:cs="宋体"/>
                <w:color w:val="auto"/>
                <w:spacing w:val="0"/>
                <w:kern w:val="21"/>
                <w:szCs w:val="21"/>
                <w:lang w:val="en-US" w:eastAsia="zh-CN"/>
              </w:rPr>
              <w:t>G209国道的临时堆场</w:t>
            </w:r>
            <w:r>
              <w:rPr>
                <w:rFonts w:hint="eastAsia" w:ascii="宋体" w:hAnsi="宋体" w:cs="宋体"/>
                <w:color w:val="auto"/>
                <w:spacing w:val="0"/>
                <w:kern w:val="21"/>
                <w:szCs w:val="21"/>
                <w:lang w:eastAsia="zh-CN"/>
              </w:rPr>
              <w:t>，项目</w:t>
            </w:r>
            <w:r>
              <w:rPr>
                <w:rFonts w:hint="eastAsia" w:ascii="宋体" w:hAnsi="宋体" w:cs="宋体"/>
                <w:color w:val="auto"/>
                <w:spacing w:val="0"/>
                <w:kern w:val="21"/>
                <w:szCs w:val="21"/>
              </w:rPr>
              <w:t>用地范围内</w:t>
            </w:r>
            <w:r>
              <w:rPr>
                <w:rFonts w:hint="eastAsia" w:ascii="宋体" w:hAnsi="宋体" w:cs="宋体"/>
                <w:color w:val="auto"/>
                <w:spacing w:val="0"/>
                <w:kern w:val="21"/>
                <w:szCs w:val="21"/>
                <w:lang w:eastAsia="zh-CN"/>
              </w:rPr>
              <w:t>已不存在动植物</w:t>
            </w:r>
            <w:r>
              <w:rPr>
                <w:rFonts w:hint="eastAsia" w:ascii="宋体" w:hAnsi="宋体" w:cs="宋体"/>
                <w:color w:val="auto"/>
                <w:spacing w:val="0"/>
                <w:kern w:val="21"/>
                <w:szCs w:val="21"/>
              </w:rPr>
              <w:t>，</w:t>
            </w:r>
            <w:r>
              <w:rPr>
                <w:rFonts w:hint="eastAsia" w:ascii="宋体" w:hAnsi="宋体" w:cs="宋体"/>
                <w:color w:val="auto"/>
                <w:spacing w:val="0"/>
                <w:kern w:val="21"/>
                <w:szCs w:val="21"/>
                <w:lang w:eastAsia="zh-CN"/>
              </w:rPr>
              <w:t>因此本项目不需要</w:t>
            </w:r>
            <w:r>
              <w:rPr>
                <w:rFonts w:hint="eastAsia" w:ascii="宋体" w:hAnsi="宋体" w:cs="宋体"/>
                <w:color w:val="auto"/>
                <w:spacing w:val="0"/>
                <w:kern w:val="21"/>
                <w:szCs w:val="21"/>
              </w:rPr>
              <w:t>进行生态现状调查</w:t>
            </w:r>
            <w:r>
              <w:rPr>
                <w:rFonts w:hint="eastAsia"/>
                <w:color w:val="auto"/>
                <w:szCs w:val="24"/>
              </w:rPr>
              <w:t>，无需开展生态环境</w:t>
            </w:r>
            <w:r>
              <w:rPr>
                <w:rFonts w:hint="eastAsia"/>
                <w:szCs w:val="24"/>
              </w:rPr>
              <w:t>影响分析</w:t>
            </w:r>
            <w:r>
              <w:rPr>
                <w:rFonts w:hint="eastAsia"/>
                <w:lang w:val="en-US"/>
              </w:rPr>
              <w:t>。</w:t>
            </w:r>
          </w:p>
          <w:p>
            <w:pPr>
              <w:pStyle w:val="8"/>
              <w:ind w:left="0" w:leftChars="0" w:firstLine="0" w:firstLineChars="0"/>
              <w:rPr>
                <w:b/>
                <w:bCs/>
                <w:lang w:val="en-US"/>
              </w:rPr>
            </w:pPr>
            <w:r>
              <w:rPr>
                <w:rFonts w:hint="eastAsia"/>
                <w:b/>
                <w:bCs/>
                <w:lang w:val="en-US" w:eastAsia="zh-CN"/>
              </w:rPr>
              <w:t xml:space="preserve">3.1.6 </w:t>
            </w:r>
            <w:r>
              <w:rPr>
                <w:rFonts w:hint="eastAsia"/>
                <w:b/>
                <w:bCs/>
                <w:lang w:val="en-US"/>
              </w:rPr>
              <w:t>电磁辐射</w:t>
            </w:r>
          </w:p>
          <w:p>
            <w:pPr>
              <w:ind w:firstLine="480"/>
              <w:rPr>
                <w:lang w:val="en-US"/>
              </w:rPr>
            </w:pPr>
            <w:r>
              <w:rPr>
                <w:rFonts w:hint="eastAsia"/>
                <w:lang w:val="en-US"/>
              </w:rPr>
              <w:t>本项目不属于电磁辐射类项目，无需开展电磁辐射影响分析。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3" w:hRule="atLeast"/>
          <w:jc w:val="center"/>
        </w:trPr>
        <w:tc>
          <w:tcPr>
            <w:tcW w:w="502" w:type="dxa"/>
            <w:tcBorders>
              <w:top w:val="single" w:color="000000" w:sz="4" w:space="0"/>
              <w:bottom w:val="single" w:color="000000" w:sz="4" w:space="0"/>
              <w:right w:val="single" w:color="000000" w:sz="4" w:space="0"/>
            </w:tcBorders>
            <w:vAlign w:val="center"/>
          </w:tcPr>
          <w:p>
            <w:pPr>
              <w:pStyle w:val="39"/>
              <w:rPr>
                <w:sz w:val="32"/>
                <w:szCs w:val="32"/>
              </w:rPr>
            </w:pPr>
            <w:r>
              <w:rPr>
                <w:sz w:val="32"/>
                <w:szCs w:val="32"/>
              </w:rPr>
              <w:t>环境保护目标</w:t>
            </w:r>
          </w:p>
        </w:tc>
        <w:tc>
          <w:tcPr>
            <w:tcW w:w="8569" w:type="dxa"/>
            <w:tcBorders>
              <w:top w:val="single" w:color="000000" w:sz="4" w:space="0"/>
              <w:left w:val="single" w:color="000000" w:sz="4" w:space="0"/>
              <w:bottom w:val="single" w:color="000000" w:sz="4" w:space="0"/>
            </w:tcBorders>
          </w:tcPr>
          <w:p>
            <w:pPr>
              <w:pStyle w:val="8"/>
              <w:ind w:left="0" w:leftChars="0" w:firstLine="0" w:firstLineChars="0"/>
              <w:rPr>
                <w:rFonts w:hint="eastAsia"/>
                <w:b/>
                <w:bCs/>
                <w:lang w:val="en-US" w:eastAsia="zh-CN"/>
              </w:rPr>
            </w:pPr>
            <w:r>
              <w:rPr>
                <w:rFonts w:hint="eastAsia"/>
                <w:b/>
                <w:bCs/>
                <w:lang w:val="en-US" w:eastAsia="zh-CN"/>
              </w:rPr>
              <w:t>3.2环境保护目标</w:t>
            </w:r>
          </w:p>
          <w:p>
            <w:pPr>
              <w:bidi w:val="0"/>
              <w:rPr>
                <w:rFonts w:hint="eastAsia"/>
                <w:sz w:val="24"/>
                <w:szCs w:val="24"/>
                <w:u w:val="single"/>
                <w:lang w:val="en-US" w:eastAsia="zh-CN"/>
              </w:rPr>
            </w:pPr>
            <w:r>
              <w:rPr>
                <w:rFonts w:hint="eastAsia"/>
                <w:sz w:val="24"/>
                <w:szCs w:val="24"/>
                <w:u w:val="single"/>
                <w:lang w:val="en-US" w:eastAsia="zh-CN"/>
              </w:rPr>
              <w:t>根据《建设项目环境影响报告表编制技术指南（污染影响类）（试行）》中环境保护目标范围：</w:t>
            </w:r>
          </w:p>
          <w:p>
            <w:pPr>
              <w:bidi w:val="0"/>
              <w:rPr>
                <w:rFonts w:hint="eastAsia"/>
                <w:sz w:val="24"/>
                <w:szCs w:val="24"/>
                <w:u w:val="single"/>
                <w:lang w:val="en-US" w:eastAsia="zh-CN"/>
              </w:rPr>
            </w:pPr>
            <w:r>
              <w:rPr>
                <w:rFonts w:hint="eastAsia"/>
                <w:sz w:val="24"/>
                <w:szCs w:val="24"/>
                <w:u w:val="single"/>
                <w:lang w:val="en-US" w:eastAsia="zh-CN"/>
              </w:rPr>
              <w:t>1、大气环境：明确厂界外500米范围内的自然保护区、风景名胜区、居住区、文化区和农村地区中人群较集中的区域等保护目标的名称及与建设项目厂界位置关系。</w:t>
            </w:r>
          </w:p>
          <w:p>
            <w:pPr>
              <w:bidi w:val="0"/>
              <w:rPr>
                <w:rFonts w:hint="eastAsia"/>
                <w:sz w:val="24"/>
                <w:szCs w:val="24"/>
                <w:u w:val="single"/>
                <w:lang w:val="en-US" w:eastAsia="zh-CN"/>
              </w:rPr>
            </w:pPr>
            <w:r>
              <w:rPr>
                <w:rFonts w:hint="eastAsia"/>
                <w:sz w:val="24"/>
                <w:szCs w:val="24"/>
                <w:u w:val="single"/>
                <w:lang w:val="en-US" w:eastAsia="zh-CN"/>
              </w:rPr>
              <w:t>2、声环境：明确厂界外50米范围内声环境保护目标。</w:t>
            </w:r>
          </w:p>
          <w:p>
            <w:pPr>
              <w:bidi w:val="0"/>
              <w:rPr>
                <w:rFonts w:hint="eastAsia"/>
                <w:sz w:val="24"/>
                <w:szCs w:val="24"/>
                <w:u w:val="single"/>
                <w:lang w:val="en-US" w:eastAsia="zh-CN"/>
              </w:rPr>
            </w:pPr>
            <w:r>
              <w:rPr>
                <w:rFonts w:hint="eastAsia"/>
                <w:sz w:val="24"/>
                <w:szCs w:val="24"/>
                <w:u w:val="single"/>
                <w:lang w:val="en-US" w:eastAsia="zh-CN"/>
              </w:rPr>
              <w:t>3、地下水环境：明确厂界外500米范围内的地下水集中式饮用水水源和热水、矿泉水、温泉等特殊地下水资源。</w:t>
            </w:r>
          </w:p>
          <w:p>
            <w:pPr>
              <w:bidi w:val="0"/>
              <w:rPr>
                <w:rFonts w:hint="eastAsia"/>
                <w:u w:val="single"/>
              </w:rPr>
            </w:pPr>
            <w:r>
              <w:rPr>
                <w:rFonts w:hint="eastAsia"/>
                <w:u w:val="single"/>
                <w:lang w:val="en-US" w:eastAsia="zh-CN"/>
              </w:rPr>
              <w:t>4、</w:t>
            </w:r>
            <w:r>
              <w:rPr>
                <w:rFonts w:hint="eastAsia"/>
                <w:u w:val="single"/>
              </w:rPr>
              <w:t>生态环境</w:t>
            </w:r>
            <w:r>
              <w:rPr>
                <w:rFonts w:hint="eastAsia"/>
                <w:u w:val="single"/>
                <w:lang w:eastAsia="zh-CN"/>
              </w:rPr>
              <w:t>：</w:t>
            </w:r>
            <w:r>
              <w:rPr>
                <w:rFonts w:hint="eastAsia"/>
                <w:u w:val="single"/>
              </w:rPr>
              <w:t>产业园区外建设项目新增用地的，应明确新增用地范围内生态环境保护目标。</w:t>
            </w:r>
          </w:p>
          <w:p>
            <w:pPr>
              <w:bidi w:val="0"/>
              <w:rPr>
                <w:rFonts w:hint="default"/>
                <w:u w:val="single"/>
                <w:lang w:val="en-US" w:eastAsia="zh-CN"/>
              </w:rPr>
            </w:pPr>
            <w:r>
              <w:rPr>
                <w:rFonts w:hint="eastAsia"/>
                <w:u w:val="single"/>
                <w:lang w:val="en-US" w:eastAsia="zh-CN"/>
              </w:rPr>
              <w:t>5、地表水环境：项目附近地表水环境为沱江，该区域为景观用水区，位于项目地西北侧1500米处，不属于水环境敏感区。</w:t>
            </w:r>
          </w:p>
          <w:p>
            <w:pPr>
              <w:bidi w:val="0"/>
            </w:pPr>
            <w:r>
              <w:rPr>
                <w:u w:val="single"/>
              </w:rPr>
              <w:t>本项目位于</w:t>
            </w:r>
            <w:r>
              <w:rPr>
                <w:rFonts w:hint="eastAsia"/>
                <w:u w:val="single"/>
                <w:lang w:val="en-US" w:eastAsia="zh-CN"/>
              </w:rPr>
              <w:t>凤凰县沱江镇高峰村</w:t>
            </w:r>
            <w:r>
              <w:rPr>
                <w:u w:val="single"/>
              </w:rPr>
              <w:t>，</w:t>
            </w:r>
            <w:r>
              <w:rPr>
                <w:rFonts w:hint="eastAsia"/>
                <w:u w:val="single"/>
                <w:lang w:eastAsia="zh-CN"/>
              </w:rPr>
              <w:t>项目最近居民区为东南侧</w:t>
            </w:r>
            <w:r>
              <w:rPr>
                <w:rFonts w:hint="eastAsia"/>
                <w:u w:val="single"/>
                <w:lang w:val="en-US" w:eastAsia="zh-CN"/>
              </w:rPr>
              <w:t>880米的十里牌村散户，</w:t>
            </w:r>
            <w:r>
              <w:rPr>
                <w:rFonts w:hint="eastAsia"/>
                <w:u w:val="single"/>
                <w:lang w:eastAsia="zh-CN"/>
              </w:rPr>
              <w:t>厂界外</w:t>
            </w:r>
            <w:r>
              <w:rPr>
                <w:rFonts w:hint="eastAsia"/>
                <w:u w:val="single"/>
                <w:lang w:val="en-US" w:eastAsia="zh-CN"/>
              </w:rPr>
              <w:t>500米范围内不涉及自然保护区、风景名胜区、居民住户等，因此本项目无环境保护目标。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0" w:hRule="atLeast"/>
          <w:jc w:val="center"/>
        </w:trPr>
        <w:tc>
          <w:tcPr>
            <w:tcW w:w="502" w:type="dxa"/>
            <w:tcBorders>
              <w:top w:val="single" w:color="000000" w:sz="4" w:space="0"/>
              <w:bottom w:val="single" w:color="000000" w:sz="4" w:space="0"/>
              <w:right w:val="single" w:color="000000" w:sz="4" w:space="0"/>
            </w:tcBorders>
            <w:vAlign w:val="center"/>
          </w:tcPr>
          <w:p>
            <w:pPr>
              <w:pStyle w:val="39"/>
              <w:rPr>
                <w:sz w:val="32"/>
                <w:szCs w:val="32"/>
              </w:rPr>
            </w:pPr>
            <w:r>
              <w:rPr>
                <w:sz w:val="32"/>
                <w:szCs w:val="32"/>
              </w:rPr>
              <w:t>污染物排放控制标准</w:t>
            </w:r>
          </w:p>
        </w:tc>
        <w:tc>
          <w:tcPr>
            <w:tcW w:w="8569" w:type="dxa"/>
            <w:tcBorders>
              <w:top w:val="single" w:color="000000" w:sz="4" w:space="0"/>
              <w:left w:val="single" w:color="000000" w:sz="4" w:space="0"/>
              <w:bottom w:val="single" w:color="000000" w:sz="4" w:space="0"/>
            </w:tcBorders>
          </w:tcPr>
          <w:p>
            <w:pPr>
              <w:pStyle w:val="8"/>
              <w:ind w:left="0" w:leftChars="0" w:firstLine="0" w:firstLineChars="0"/>
              <w:rPr>
                <w:b/>
                <w:bCs/>
                <w:lang w:val="en-US"/>
              </w:rPr>
            </w:pPr>
            <w:r>
              <w:rPr>
                <w:rFonts w:hint="eastAsia"/>
                <w:b/>
                <w:bCs/>
                <w:lang w:val="en-US" w:eastAsia="zh-CN"/>
              </w:rPr>
              <w:t xml:space="preserve">3.3 </w:t>
            </w:r>
            <w:r>
              <w:rPr>
                <w:rFonts w:hint="eastAsia"/>
                <w:b/>
                <w:bCs/>
                <w:lang w:val="en-US"/>
              </w:rPr>
              <w:t>污染物排放标准</w:t>
            </w:r>
          </w:p>
          <w:p>
            <w:pPr>
              <w:pStyle w:val="9"/>
              <w:spacing w:before="192" w:after="192"/>
            </w:pPr>
            <w:r>
              <w:rPr>
                <w:rFonts w:hint="eastAsia"/>
                <w:lang w:val="en-US" w:eastAsia="zh-CN"/>
              </w:rPr>
              <w:t xml:space="preserve">3.3.1 </w:t>
            </w:r>
            <w:r>
              <w:rPr>
                <w:rFonts w:hint="eastAsia"/>
              </w:rPr>
              <w:t>大气污染物排放标准</w:t>
            </w:r>
          </w:p>
          <w:p>
            <w:pPr>
              <w:adjustRightInd w:val="0"/>
              <w:snapToGrid w:val="0"/>
              <w:spacing w:line="360" w:lineRule="auto"/>
              <w:ind w:firstLine="480" w:firstLineChars="200"/>
              <w:jc w:val="left"/>
              <w:rPr>
                <w:rFonts w:hint="default" w:ascii="Times New Roman" w:hAnsi="Times New Roman" w:cs="Times New Roman"/>
                <w:b/>
                <w:snapToGrid w:val="0"/>
                <w:kern w:val="0"/>
                <w:szCs w:val="21"/>
              </w:rPr>
            </w:pPr>
            <w:r>
              <w:rPr>
                <w:rFonts w:hint="default" w:ascii="Times New Roman" w:hAnsi="Times New Roman" w:cs="Times New Roman"/>
                <w:kern w:val="0"/>
                <w:sz w:val="24"/>
                <w:lang w:val="en-US" w:eastAsia="zh-CN"/>
              </w:rPr>
              <w:t>营运期</w:t>
            </w:r>
            <w:r>
              <w:rPr>
                <w:rFonts w:hint="default" w:ascii="Times New Roman" w:hAnsi="Times New Roman" w:cs="Times New Roman"/>
                <w:kern w:val="0"/>
                <w:sz w:val="24"/>
              </w:rPr>
              <w:t>氨、硫化氢</w:t>
            </w:r>
            <w:r>
              <w:rPr>
                <w:rFonts w:hint="eastAsia" w:ascii="Times New Roman" w:hAnsi="Times New Roman" w:cs="Times New Roman"/>
                <w:kern w:val="0"/>
                <w:sz w:val="24"/>
                <w:lang w:eastAsia="zh-CN"/>
              </w:rPr>
              <w:t>、</w:t>
            </w:r>
            <w:r>
              <w:rPr>
                <w:rFonts w:hint="eastAsia" w:ascii="Times New Roman" w:hAnsi="Times New Roman" w:cs="Times New Roman"/>
                <w:kern w:val="0"/>
                <w:sz w:val="24"/>
                <w:lang w:val="en-US" w:eastAsia="zh-CN"/>
              </w:rPr>
              <w:t>臭气浓度</w:t>
            </w:r>
            <w:r>
              <w:rPr>
                <w:rFonts w:hint="default" w:ascii="Times New Roman" w:hAnsi="Times New Roman" w:cs="Times New Roman"/>
                <w:kern w:val="0"/>
                <w:sz w:val="24"/>
              </w:rPr>
              <w:t>排放执行《恶臭污染物排放标准》(GB14554-93)中的相关规定</w:t>
            </w:r>
            <w:r>
              <w:rPr>
                <w:rFonts w:hint="eastAsia" w:ascii="Times New Roman" w:hAnsi="Times New Roman" w:cs="Times New Roman"/>
                <w:kern w:val="0"/>
                <w:sz w:val="24"/>
                <w:lang w:eastAsia="zh-CN"/>
              </w:rPr>
              <w:t>，</w:t>
            </w:r>
            <w:r>
              <w:rPr>
                <w:rFonts w:hint="eastAsia" w:ascii="Times New Roman" w:hAnsi="Times New Roman" w:cs="Times New Roman"/>
                <w:kern w:val="0"/>
                <w:sz w:val="24"/>
                <w:lang w:val="en-US" w:eastAsia="zh-CN"/>
              </w:rPr>
              <w:t>颗粒物</w:t>
            </w:r>
            <w:r>
              <w:rPr>
                <w:rFonts w:hint="default" w:ascii="Times New Roman" w:hAnsi="Times New Roman" w:cs="Times New Roman"/>
                <w:kern w:val="0"/>
                <w:sz w:val="24"/>
              </w:rPr>
              <w:t>排放执行《大气污染物综合排放标准》(GB16297-1996 )表2中的二级标准。</w:t>
            </w:r>
          </w:p>
          <w:p>
            <w:pPr>
              <w:pStyle w:val="43"/>
              <w:spacing w:before="0" w:after="0"/>
              <w:rPr>
                <w:rFonts w:hint="default" w:ascii="Times New Roman" w:hAnsi="Times New Roman" w:cs="Times New Roman"/>
                <w:kern w:val="0"/>
                <w:szCs w:val="21"/>
                <w:lang w:bidi="th-TH"/>
              </w:rPr>
            </w:pPr>
            <w:r>
              <w:rPr>
                <w:rFonts w:hint="eastAsia" w:ascii="Times New Roman" w:hAnsi="Times New Roman" w:cs="Times New Roman"/>
                <w:kern w:val="0"/>
                <w:sz w:val="21"/>
                <w:szCs w:val="21"/>
                <w:lang w:val="en-US" w:eastAsia="zh-CN"/>
              </w:rPr>
              <w:t>表</w:t>
            </w:r>
            <w:r>
              <w:rPr>
                <w:rFonts w:hint="eastAsia" w:cs="Times New Roman"/>
                <w:kern w:val="0"/>
                <w:sz w:val="21"/>
                <w:szCs w:val="21"/>
                <w:lang w:val="en-US" w:eastAsia="zh-CN"/>
              </w:rPr>
              <w:t xml:space="preserve">3-8  </w:t>
            </w:r>
            <w:r>
              <w:rPr>
                <w:rFonts w:hint="eastAsia"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rPr>
              <w:t>《大气污染物综合排放标准》(GB16297-1996 )</w:t>
            </w:r>
          </w:p>
          <w:tbl>
            <w:tblPr>
              <w:tblStyle w:val="31"/>
              <w:tblW w:w="4878"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1366"/>
              <w:gridCol w:w="1241"/>
              <w:gridCol w:w="1357"/>
              <w:gridCol w:w="1464"/>
              <w:gridCol w:w="2909"/>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33" w:hRule="atLeast"/>
                <w:jc w:val="center"/>
              </w:trPr>
              <w:tc>
                <w:tcPr>
                  <w:tcW w:w="819" w:type="pct"/>
                  <w:vMerge w:val="restart"/>
                  <w:noWrap w:val="0"/>
                  <w:tcMar>
                    <w:left w:w="28" w:type="dxa"/>
                    <w:right w:w="28" w:type="dxa"/>
                  </w:tcMar>
                  <w:vAlign w:val="center"/>
                </w:tcPr>
                <w:p>
                  <w:pPr>
                    <w:pStyle w:val="44"/>
                    <w:rPr>
                      <w:rFonts w:ascii="Times New Roman" w:hAnsi="Times New Roman" w:cs="Times New Roman"/>
                      <w:b/>
                      <w:szCs w:val="21"/>
                      <w:u w:val="none"/>
                    </w:rPr>
                  </w:pPr>
                  <w:r>
                    <w:rPr>
                      <w:rFonts w:ascii="Times New Roman" w:hAnsi="Times New Roman" w:cs="Times New Roman"/>
                      <w:b/>
                      <w:szCs w:val="21"/>
                      <w:u w:val="none"/>
                    </w:rPr>
                    <w:t>污染物</w:t>
                  </w:r>
                </w:p>
              </w:tc>
              <w:tc>
                <w:tcPr>
                  <w:tcW w:w="1558" w:type="pct"/>
                  <w:gridSpan w:val="2"/>
                  <w:noWrap w:val="0"/>
                  <w:tcMar>
                    <w:left w:w="28" w:type="dxa"/>
                    <w:right w:w="28" w:type="dxa"/>
                  </w:tcMar>
                  <w:vAlign w:val="center"/>
                </w:tcPr>
                <w:p>
                  <w:pPr>
                    <w:pStyle w:val="44"/>
                    <w:rPr>
                      <w:rFonts w:ascii="Times New Roman" w:hAnsi="Times New Roman" w:cs="Times New Roman"/>
                      <w:b/>
                      <w:szCs w:val="21"/>
                      <w:u w:val="none"/>
                    </w:rPr>
                  </w:pPr>
                  <w:r>
                    <w:rPr>
                      <w:rFonts w:ascii="Times New Roman" w:hAnsi="Times New Roman" w:cs="Times New Roman"/>
                      <w:b/>
                      <w:szCs w:val="21"/>
                      <w:u w:val="none"/>
                    </w:rPr>
                    <w:t>最高允许排放速率，kg/h</w:t>
                  </w:r>
                </w:p>
              </w:tc>
              <w:tc>
                <w:tcPr>
                  <w:tcW w:w="878" w:type="pct"/>
                  <w:vMerge w:val="restart"/>
                  <w:noWrap w:val="0"/>
                  <w:tcMar>
                    <w:left w:w="28" w:type="dxa"/>
                    <w:right w:w="28" w:type="dxa"/>
                  </w:tcMar>
                  <w:vAlign w:val="center"/>
                </w:tcPr>
                <w:p>
                  <w:pPr>
                    <w:pStyle w:val="44"/>
                    <w:rPr>
                      <w:rFonts w:ascii="Times New Roman" w:hAnsi="Times New Roman" w:cs="Times New Roman"/>
                      <w:b/>
                      <w:szCs w:val="21"/>
                      <w:u w:val="none"/>
                    </w:rPr>
                  </w:pPr>
                  <w:r>
                    <w:rPr>
                      <w:rFonts w:ascii="Times New Roman" w:hAnsi="Times New Roman" w:cs="Times New Roman"/>
                      <w:b/>
                      <w:szCs w:val="21"/>
                      <w:u w:val="none"/>
                    </w:rPr>
                    <w:t>最高允许排放浓度mg/m³</w:t>
                  </w:r>
                </w:p>
              </w:tc>
              <w:tc>
                <w:tcPr>
                  <w:tcW w:w="1744" w:type="pct"/>
                  <w:vMerge w:val="restart"/>
                  <w:noWrap w:val="0"/>
                  <w:tcMar>
                    <w:left w:w="28" w:type="dxa"/>
                    <w:right w:w="28" w:type="dxa"/>
                  </w:tcMar>
                  <w:vAlign w:val="center"/>
                </w:tcPr>
                <w:p>
                  <w:pPr>
                    <w:pStyle w:val="44"/>
                    <w:rPr>
                      <w:rFonts w:ascii="Times New Roman" w:hAnsi="Times New Roman" w:cs="Times New Roman"/>
                      <w:b/>
                      <w:szCs w:val="21"/>
                      <w:u w:val="none"/>
                    </w:rPr>
                  </w:pPr>
                  <w:r>
                    <w:rPr>
                      <w:rFonts w:ascii="Times New Roman" w:hAnsi="Times New Roman" w:cs="Times New Roman"/>
                      <w:b/>
                      <w:szCs w:val="21"/>
                      <w:u w:val="none"/>
                    </w:rPr>
                    <w:t>无组织排放监控</w:t>
                  </w:r>
                  <w:r>
                    <w:rPr>
                      <w:rFonts w:hint="eastAsia" w:ascii="Times New Roman" w:hAnsi="Times New Roman" w:cs="Times New Roman"/>
                      <w:b/>
                      <w:szCs w:val="21"/>
                      <w:u w:val="none"/>
                      <w:lang w:val="en-US" w:eastAsia="zh-CN"/>
                    </w:rPr>
                    <w:t>浓</w:t>
                  </w:r>
                  <w:r>
                    <w:rPr>
                      <w:rFonts w:ascii="Times New Roman" w:hAnsi="Times New Roman" w:cs="Times New Roman"/>
                      <w:b/>
                      <w:szCs w:val="21"/>
                      <w:u w:val="none"/>
                    </w:rPr>
                    <w:t>度限值mg/m³</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819" w:type="pct"/>
                  <w:vMerge w:val="continue"/>
                  <w:noWrap w:val="0"/>
                  <w:tcMar>
                    <w:left w:w="28" w:type="dxa"/>
                    <w:right w:w="28" w:type="dxa"/>
                  </w:tcMar>
                  <w:vAlign w:val="center"/>
                </w:tcPr>
                <w:p>
                  <w:pPr>
                    <w:pStyle w:val="44"/>
                    <w:rPr>
                      <w:rFonts w:ascii="Times New Roman" w:hAnsi="Times New Roman" w:cs="Times New Roman"/>
                      <w:szCs w:val="21"/>
                      <w:u w:val="none"/>
                    </w:rPr>
                  </w:pPr>
                </w:p>
              </w:tc>
              <w:tc>
                <w:tcPr>
                  <w:tcW w:w="744" w:type="pct"/>
                  <w:noWrap w:val="0"/>
                  <w:tcMar>
                    <w:left w:w="28" w:type="dxa"/>
                    <w:right w:w="28" w:type="dxa"/>
                  </w:tcMar>
                  <w:vAlign w:val="center"/>
                </w:tcPr>
                <w:p>
                  <w:pPr>
                    <w:pStyle w:val="44"/>
                    <w:rPr>
                      <w:rFonts w:ascii="Times New Roman" w:hAnsi="Times New Roman" w:cs="Times New Roman"/>
                      <w:b/>
                      <w:szCs w:val="21"/>
                      <w:u w:val="none"/>
                    </w:rPr>
                  </w:pPr>
                  <w:r>
                    <w:rPr>
                      <w:rFonts w:ascii="Times New Roman" w:hAnsi="Times New Roman" w:cs="Times New Roman"/>
                      <w:b/>
                      <w:szCs w:val="21"/>
                      <w:u w:val="none"/>
                    </w:rPr>
                    <w:t>H=15m</w:t>
                  </w:r>
                </w:p>
              </w:tc>
              <w:tc>
                <w:tcPr>
                  <w:tcW w:w="813" w:type="pct"/>
                  <w:noWrap w:val="0"/>
                  <w:tcMar>
                    <w:left w:w="28" w:type="dxa"/>
                    <w:right w:w="28" w:type="dxa"/>
                  </w:tcMar>
                  <w:vAlign w:val="center"/>
                </w:tcPr>
                <w:p>
                  <w:pPr>
                    <w:pStyle w:val="44"/>
                    <w:rPr>
                      <w:rFonts w:ascii="Times New Roman" w:hAnsi="Times New Roman" w:cs="Times New Roman"/>
                      <w:b/>
                      <w:szCs w:val="21"/>
                      <w:u w:val="none"/>
                    </w:rPr>
                  </w:pPr>
                  <w:r>
                    <w:rPr>
                      <w:rFonts w:ascii="Times New Roman" w:hAnsi="Times New Roman" w:cs="Times New Roman"/>
                      <w:b/>
                      <w:szCs w:val="21"/>
                      <w:u w:val="none"/>
                    </w:rPr>
                    <w:t>H=20m</w:t>
                  </w:r>
                </w:p>
              </w:tc>
              <w:tc>
                <w:tcPr>
                  <w:tcW w:w="878" w:type="pct"/>
                  <w:vMerge w:val="continue"/>
                  <w:noWrap w:val="0"/>
                  <w:tcMar>
                    <w:left w:w="28" w:type="dxa"/>
                    <w:right w:w="28" w:type="dxa"/>
                  </w:tcMar>
                  <w:vAlign w:val="center"/>
                </w:tcPr>
                <w:p>
                  <w:pPr>
                    <w:pStyle w:val="44"/>
                    <w:rPr>
                      <w:rFonts w:ascii="Times New Roman" w:hAnsi="Times New Roman" w:cs="Times New Roman"/>
                      <w:szCs w:val="21"/>
                      <w:u w:val="none"/>
                    </w:rPr>
                  </w:pPr>
                </w:p>
              </w:tc>
              <w:tc>
                <w:tcPr>
                  <w:tcW w:w="1744" w:type="pct"/>
                  <w:vMerge w:val="continue"/>
                  <w:noWrap w:val="0"/>
                  <w:tcMar>
                    <w:left w:w="28" w:type="dxa"/>
                    <w:right w:w="28" w:type="dxa"/>
                  </w:tcMar>
                  <w:vAlign w:val="center"/>
                </w:tcPr>
                <w:p>
                  <w:pPr>
                    <w:pStyle w:val="44"/>
                    <w:rPr>
                      <w:rFonts w:ascii="Times New Roman" w:hAnsi="Times New Roman" w:cs="Times New Roman"/>
                      <w:szCs w:val="21"/>
                      <w:u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19" w:type="pct"/>
                  <w:noWrap w:val="0"/>
                  <w:tcMar>
                    <w:left w:w="28" w:type="dxa"/>
                    <w:right w:w="28" w:type="dxa"/>
                  </w:tcMar>
                  <w:vAlign w:val="center"/>
                </w:tcPr>
                <w:p>
                  <w:pPr>
                    <w:pStyle w:val="44"/>
                    <w:rPr>
                      <w:rFonts w:ascii="Times New Roman" w:hAnsi="Times New Roman" w:cs="Times New Roman"/>
                      <w:szCs w:val="21"/>
                      <w:u w:val="none"/>
                    </w:rPr>
                  </w:pPr>
                  <w:r>
                    <w:rPr>
                      <w:rFonts w:ascii="Times New Roman" w:hAnsi="Times New Roman" w:cs="Times New Roman"/>
                      <w:szCs w:val="21"/>
                      <w:u w:val="none"/>
                    </w:rPr>
                    <w:t>颗粒物</w:t>
                  </w:r>
                </w:p>
              </w:tc>
              <w:tc>
                <w:tcPr>
                  <w:tcW w:w="744" w:type="pct"/>
                  <w:noWrap w:val="0"/>
                  <w:tcMar>
                    <w:left w:w="28" w:type="dxa"/>
                    <w:right w:w="28" w:type="dxa"/>
                  </w:tcMar>
                  <w:vAlign w:val="center"/>
                </w:tcPr>
                <w:p>
                  <w:pPr>
                    <w:pStyle w:val="44"/>
                    <w:rPr>
                      <w:rFonts w:ascii="Times New Roman" w:hAnsi="Times New Roman" w:cs="Times New Roman"/>
                      <w:szCs w:val="21"/>
                      <w:u w:val="none"/>
                    </w:rPr>
                  </w:pPr>
                  <w:r>
                    <w:rPr>
                      <w:rFonts w:ascii="Times New Roman" w:hAnsi="Times New Roman" w:cs="Times New Roman"/>
                      <w:szCs w:val="21"/>
                      <w:u w:val="none"/>
                    </w:rPr>
                    <w:t>3.5</w:t>
                  </w:r>
                </w:p>
              </w:tc>
              <w:tc>
                <w:tcPr>
                  <w:tcW w:w="813" w:type="pct"/>
                  <w:noWrap w:val="0"/>
                  <w:tcMar>
                    <w:left w:w="28" w:type="dxa"/>
                    <w:right w:w="28" w:type="dxa"/>
                  </w:tcMar>
                  <w:vAlign w:val="center"/>
                </w:tcPr>
                <w:p>
                  <w:pPr>
                    <w:pStyle w:val="44"/>
                    <w:rPr>
                      <w:rFonts w:ascii="Times New Roman" w:hAnsi="Times New Roman" w:cs="Times New Roman"/>
                      <w:szCs w:val="21"/>
                      <w:u w:val="none"/>
                    </w:rPr>
                  </w:pPr>
                  <w:r>
                    <w:rPr>
                      <w:rFonts w:ascii="Times New Roman" w:hAnsi="Times New Roman" w:cs="Times New Roman"/>
                      <w:szCs w:val="21"/>
                      <w:u w:val="none"/>
                    </w:rPr>
                    <w:t>5.9</w:t>
                  </w:r>
                </w:p>
              </w:tc>
              <w:tc>
                <w:tcPr>
                  <w:tcW w:w="878" w:type="pct"/>
                  <w:noWrap w:val="0"/>
                  <w:tcMar>
                    <w:left w:w="28" w:type="dxa"/>
                    <w:right w:w="28" w:type="dxa"/>
                  </w:tcMar>
                  <w:vAlign w:val="center"/>
                </w:tcPr>
                <w:p>
                  <w:pPr>
                    <w:pStyle w:val="44"/>
                    <w:rPr>
                      <w:rFonts w:ascii="Times New Roman" w:hAnsi="Times New Roman" w:cs="Times New Roman"/>
                      <w:szCs w:val="21"/>
                      <w:u w:val="none"/>
                    </w:rPr>
                  </w:pPr>
                  <w:r>
                    <w:rPr>
                      <w:rFonts w:ascii="Times New Roman" w:hAnsi="Times New Roman" w:cs="Times New Roman"/>
                      <w:szCs w:val="21"/>
                      <w:u w:val="none"/>
                    </w:rPr>
                    <w:t>120</w:t>
                  </w:r>
                </w:p>
              </w:tc>
              <w:tc>
                <w:tcPr>
                  <w:tcW w:w="1744" w:type="pct"/>
                  <w:noWrap w:val="0"/>
                  <w:tcMar>
                    <w:left w:w="28" w:type="dxa"/>
                    <w:right w:w="28" w:type="dxa"/>
                  </w:tcMar>
                  <w:vAlign w:val="center"/>
                </w:tcPr>
                <w:p>
                  <w:pPr>
                    <w:pStyle w:val="44"/>
                    <w:rPr>
                      <w:rFonts w:ascii="Times New Roman" w:hAnsi="Times New Roman" w:cs="Times New Roman"/>
                      <w:szCs w:val="21"/>
                      <w:u w:val="none"/>
                    </w:rPr>
                  </w:pPr>
                  <w:r>
                    <w:rPr>
                      <w:rFonts w:ascii="Times New Roman" w:hAnsi="Times New Roman" w:cs="Times New Roman"/>
                      <w:szCs w:val="21"/>
                      <w:u w:val="none"/>
                    </w:rPr>
                    <w:t>1.0</w:t>
                  </w:r>
                </w:p>
              </w:tc>
            </w:tr>
          </w:tbl>
          <w:p>
            <w:pPr>
              <w:pStyle w:val="43"/>
              <w:spacing w:before="0" w:after="0"/>
              <w:rPr>
                <w:rFonts w:hint="default" w:ascii="Times New Roman" w:hAnsi="Times New Roman" w:cs="Times New Roman"/>
                <w:kern w:val="0"/>
                <w:szCs w:val="21"/>
                <w:lang w:bidi="th-TH"/>
              </w:rPr>
            </w:pPr>
            <w:r>
              <w:rPr>
                <w:rFonts w:hint="default" w:ascii="Times New Roman" w:hAnsi="Times New Roman" w:cs="Times New Roman"/>
                <w:kern w:val="0"/>
                <w:szCs w:val="21"/>
                <w:lang w:bidi="th-TH"/>
              </w:rPr>
              <w:t>表</w:t>
            </w:r>
            <w:r>
              <w:rPr>
                <w:rFonts w:hint="eastAsia" w:cs="Times New Roman"/>
                <w:kern w:val="0"/>
                <w:szCs w:val="21"/>
                <w:lang w:val="en-US" w:eastAsia="zh-CN" w:bidi="th-TH"/>
              </w:rPr>
              <w:t xml:space="preserve">3-9   </w:t>
            </w:r>
            <w:r>
              <w:rPr>
                <w:rFonts w:hint="default" w:ascii="Times New Roman" w:hAnsi="Times New Roman" w:cs="Times New Roman"/>
                <w:kern w:val="0"/>
                <w:szCs w:val="21"/>
                <w:lang w:bidi="th-TH"/>
              </w:rPr>
              <w:t>恶臭污染物厂界排放标准值</w:t>
            </w:r>
          </w:p>
          <w:tbl>
            <w:tblPr>
              <w:tblStyle w:val="31"/>
              <w:tblW w:w="495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2"/>
              <w:gridCol w:w="1782"/>
              <w:gridCol w:w="1416"/>
              <w:gridCol w:w="1571"/>
              <w:gridCol w:w="282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jc w:val="center"/>
              </w:trPr>
              <w:tc>
                <w:tcPr>
                  <w:tcW w:w="509" w:type="pct"/>
                  <w:tcBorders>
                    <w:tl2br w:val="nil"/>
                    <w:tr2bl w:val="nil"/>
                  </w:tcBorders>
                  <w:noWrap w:val="0"/>
                  <w:vAlign w:val="center"/>
                </w:tcPr>
                <w:p>
                  <w:pPr>
                    <w:pStyle w:val="38"/>
                    <w:bidi w:val="0"/>
                    <w:rPr>
                      <w:rFonts w:hint="default" w:ascii="Times New Roman" w:hAnsi="Times New Roman" w:cs="Times New Roman"/>
                      <w:b/>
                      <w:bCs/>
                    </w:rPr>
                  </w:pPr>
                  <w:r>
                    <w:rPr>
                      <w:rFonts w:hint="default" w:ascii="Times New Roman" w:hAnsi="Times New Roman" w:cs="Times New Roman"/>
                      <w:b/>
                      <w:bCs/>
                    </w:rPr>
                    <w:t>序号</w:t>
                  </w:r>
                </w:p>
              </w:tc>
              <w:tc>
                <w:tcPr>
                  <w:tcW w:w="1053" w:type="pct"/>
                  <w:tcBorders>
                    <w:tl2br w:val="nil"/>
                    <w:tr2bl w:val="nil"/>
                  </w:tcBorders>
                  <w:noWrap w:val="0"/>
                  <w:vAlign w:val="center"/>
                </w:tcPr>
                <w:p>
                  <w:pPr>
                    <w:pStyle w:val="38"/>
                    <w:bidi w:val="0"/>
                    <w:rPr>
                      <w:rFonts w:hint="default" w:ascii="Times New Roman" w:hAnsi="Times New Roman" w:cs="Times New Roman"/>
                      <w:b/>
                      <w:bCs/>
                    </w:rPr>
                  </w:pPr>
                  <w:r>
                    <w:rPr>
                      <w:rFonts w:hint="default" w:ascii="Times New Roman" w:hAnsi="Times New Roman" w:cs="Times New Roman"/>
                      <w:b/>
                      <w:bCs/>
                    </w:rPr>
                    <w:t>控制项目</w:t>
                  </w:r>
                </w:p>
              </w:tc>
              <w:tc>
                <w:tcPr>
                  <w:tcW w:w="837" w:type="pct"/>
                  <w:tcBorders>
                    <w:tl2br w:val="nil"/>
                    <w:tr2bl w:val="nil"/>
                  </w:tcBorders>
                  <w:noWrap w:val="0"/>
                  <w:vAlign w:val="center"/>
                </w:tcPr>
                <w:p>
                  <w:pPr>
                    <w:pStyle w:val="38"/>
                    <w:bidi w:val="0"/>
                    <w:rPr>
                      <w:rFonts w:hint="default" w:ascii="Times New Roman" w:hAnsi="Times New Roman" w:cs="Times New Roman"/>
                      <w:b/>
                      <w:bCs/>
                    </w:rPr>
                  </w:pPr>
                  <w:r>
                    <w:rPr>
                      <w:rFonts w:hint="default" w:ascii="Times New Roman" w:hAnsi="Times New Roman" w:cs="Times New Roman"/>
                      <w:b/>
                      <w:bCs/>
                    </w:rPr>
                    <w:t>单位</w:t>
                  </w:r>
                </w:p>
              </w:tc>
              <w:tc>
                <w:tcPr>
                  <w:tcW w:w="928" w:type="pct"/>
                  <w:tcBorders>
                    <w:tl2br w:val="nil"/>
                    <w:tr2bl w:val="nil"/>
                  </w:tcBorders>
                  <w:noWrap w:val="0"/>
                  <w:vAlign w:val="center"/>
                </w:tcPr>
                <w:p>
                  <w:pPr>
                    <w:pStyle w:val="38"/>
                    <w:bidi w:val="0"/>
                    <w:rPr>
                      <w:rFonts w:hint="default" w:ascii="Times New Roman" w:hAnsi="Times New Roman" w:cs="Times New Roman"/>
                      <w:b/>
                      <w:bCs/>
                    </w:rPr>
                  </w:pPr>
                  <w:r>
                    <w:rPr>
                      <w:rFonts w:hint="default" w:ascii="Times New Roman" w:hAnsi="Times New Roman" w:cs="Times New Roman"/>
                      <w:b/>
                      <w:bCs/>
                    </w:rPr>
                    <w:t>二级</w:t>
                  </w:r>
                </w:p>
              </w:tc>
              <w:tc>
                <w:tcPr>
                  <w:tcW w:w="1671" w:type="pct"/>
                  <w:tcBorders>
                    <w:tl2br w:val="nil"/>
                    <w:tr2bl w:val="nil"/>
                  </w:tcBorders>
                  <w:noWrap w:val="0"/>
                  <w:vAlign w:val="center"/>
                </w:tcPr>
                <w:p>
                  <w:pPr>
                    <w:pStyle w:val="38"/>
                    <w:bidi w:val="0"/>
                    <w:rPr>
                      <w:rFonts w:hint="default" w:ascii="Times New Roman" w:hAnsi="Times New Roman" w:cs="Times New Roman"/>
                      <w:b/>
                      <w:bCs/>
                    </w:rPr>
                  </w:pPr>
                  <w:r>
                    <w:rPr>
                      <w:rFonts w:hint="default" w:ascii="Times New Roman" w:hAnsi="Times New Roman" w:cs="Times New Roman"/>
                      <w:b/>
                      <w:bCs/>
                    </w:rPr>
                    <w:t>执行标准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jc w:val="center"/>
              </w:trPr>
              <w:tc>
                <w:tcPr>
                  <w:tcW w:w="509" w:type="pct"/>
                  <w:tcBorders>
                    <w:tl2br w:val="nil"/>
                    <w:tr2bl w:val="nil"/>
                  </w:tcBorders>
                  <w:noWrap w:val="0"/>
                  <w:vAlign w:val="center"/>
                </w:tcPr>
                <w:p>
                  <w:pPr>
                    <w:pStyle w:val="38"/>
                    <w:bidi w:val="0"/>
                    <w:rPr>
                      <w:rFonts w:hint="default" w:ascii="Times New Roman" w:hAnsi="Times New Roman" w:cs="Times New Roman"/>
                    </w:rPr>
                  </w:pPr>
                  <w:r>
                    <w:rPr>
                      <w:rFonts w:hint="default" w:ascii="Times New Roman" w:hAnsi="Times New Roman" w:cs="Times New Roman"/>
                    </w:rPr>
                    <w:t>1</w:t>
                  </w:r>
                </w:p>
              </w:tc>
              <w:tc>
                <w:tcPr>
                  <w:tcW w:w="1053" w:type="pct"/>
                  <w:tcBorders>
                    <w:tl2br w:val="nil"/>
                    <w:tr2bl w:val="nil"/>
                  </w:tcBorders>
                  <w:noWrap w:val="0"/>
                  <w:vAlign w:val="center"/>
                </w:tcPr>
                <w:p>
                  <w:pPr>
                    <w:pStyle w:val="38"/>
                    <w:bidi w:val="0"/>
                    <w:rPr>
                      <w:rFonts w:hint="default" w:ascii="Times New Roman" w:hAnsi="Times New Roman" w:cs="Times New Roman"/>
                    </w:rPr>
                  </w:pPr>
                  <w:r>
                    <w:rPr>
                      <w:rFonts w:hint="default" w:ascii="Times New Roman" w:hAnsi="Times New Roman" w:cs="Times New Roman"/>
                    </w:rPr>
                    <w:t>氨</w:t>
                  </w:r>
                </w:p>
              </w:tc>
              <w:tc>
                <w:tcPr>
                  <w:tcW w:w="837" w:type="pct"/>
                  <w:tcBorders>
                    <w:tl2br w:val="nil"/>
                    <w:tr2bl w:val="nil"/>
                  </w:tcBorders>
                  <w:noWrap w:val="0"/>
                  <w:vAlign w:val="center"/>
                </w:tcPr>
                <w:p>
                  <w:pPr>
                    <w:pStyle w:val="38"/>
                    <w:bidi w:val="0"/>
                    <w:rPr>
                      <w:rFonts w:hint="default" w:ascii="Times New Roman" w:hAnsi="Times New Roman" w:cs="Times New Roman"/>
                    </w:rPr>
                  </w:pPr>
                  <w:r>
                    <w:rPr>
                      <w:rFonts w:hint="default" w:ascii="Times New Roman" w:hAnsi="Times New Roman" w:cs="Times New Roman"/>
                    </w:rPr>
                    <w:t>mg/m</w:t>
                  </w:r>
                  <w:r>
                    <w:rPr>
                      <w:rFonts w:hint="default" w:ascii="Times New Roman" w:hAnsi="Times New Roman" w:cs="Times New Roman"/>
                      <w:vertAlign w:val="superscript"/>
                    </w:rPr>
                    <w:t>3</w:t>
                  </w:r>
                </w:p>
              </w:tc>
              <w:tc>
                <w:tcPr>
                  <w:tcW w:w="928" w:type="pct"/>
                  <w:tcBorders>
                    <w:tl2br w:val="nil"/>
                    <w:tr2bl w:val="nil"/>
                  </w:tcBorders>
                  <w:noWrap w:val="0"/>
                  <w:vAlign w:val="center"/>
                </w:tcPr>
                <w:p>
                  <w:pPr>
                    <w:pStyle w:val="38"/>
                    <w:bidi w:val="0"/>
                    <w:rPr>
                      <w:rFonts w:hint="default" w:ascii="Times New Roman" w:hAnsi="Times New Roman" w:cs="Times New Roman"/>
                    </w:rPr>
                  </w:pPr>
                  <w:r>
                    <w:rPr>
                      <w:rFonts w:hint="default" w:ascii="Times New Roman" w:hAnsi="Times New Roman" w:cs="Times New Roman"/>
                    </w:rPr>
                    <w:t>1.5</w:t>
                  </w:r>
                </w:p>
              </w:tc>
              <w:tc>
                <w:tcPr>
                  <w:tcW w:w="1671" w:type="pct"/>
                  <w:vMerge w:val="restart"/>
                  <w:tcBorders>
                    <w:tl2br w:val="nil"/>
                    <w:tr2bl w:val="nil"/>
                  </w:tcBorders>
                  <w:noWrap w:val="0"/>
                  <w:vAlign w:val="center"/>
                </w:tcPr>
                <w:p>
                  <w:pPr>
                    <w:pStyle w:val="38"/>
                    <w:bidi w:val="0"/>
                    <w:rPr>
                      <w:rFonts w:hint="default" w:ascii="Times New Roman" w:hAnsi="Times New Roman" w:cs="Times New Roman"/>
                    </w:rPr>
                  </w:pPr>
                  <w:r>
                    <w:rPr>
                      <w:rFonts w:hint="default" w:ascii="Times New Roman" w:hAnsi="Times New Roman" w:cs="Times New Roman"/>
                    </w:rPr>
                    <w:t>《恶臭污染物排放标准》（GB14554-93）二级标准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jc w:val="center"/>
              </w:trPr>
              <w:tc>
                <w:tcPr>
                  <w:tcW w:w="509" w:type="pct"/>
                  <w:tcBorders>
                    <w:tl2br w:val="nil"/>
                    <w:tr2bl w:val="nil"/>
                  </w:tcBorders>
                  <w:noWrap w:val="0"/>
                  <w:vAlign w:val="center"/>
                </w:tcPr>
                <w:p>
                  <w:pPr>
                    <w:pStyle w:val="38"/>
                    <w:bidi w:val="0"/>
                    <w:rPr>
                      <w:rFonts w:hint="default" w:ascii="Times New Roman" w:hAnsi="Times New Roman" w:cs="Times New Roman"/>
                    </w:rPr>
                  </w:pPr>
                  <w:r>
                    <w:rPr>
                      <w:rFonts w:hint="default" w:ascii="Times New Roman" w:hAnsi="Times New Roman" w:cs="Times New Roman"/>
                    </w:rPr>
                    <w:t>2</w:t>
                  </w:r>
                </w:p>
              </w:tc>
              <w:tc>
                <w:tcPr>
                  <w:tcW w:w="1053" w:type="pct"/>
                  <w:tcBorders>
                    <w:tl2br w:val="nil"/>
                    <w:tr2bl w:val="nil"/>
                  </w:tcBorders>
                  <w:noWrap w:val="0"/>
                  <w:vAlign w:val="center"/>
                </w:tcPr>
                <w:p>
                  <w:pPr>
                    <w:pStyle w:val="38"/>
                    <w:bidi w:val="0"/>
                    <w:rPr>
                      <w:rFonts w:hint="default" w:ascii="Times New Roman" w:hAnsi="Times New Roman" w:cs="Times New Roman"/>
                    </w:rPr>
                  </w:pPr>
                  <w:r>
                    <w:rPr>
                      <w:rFonts w:hint="default" w:ascii="Times New Roman" w:hAnsi="Times New Roman" w:cs="Times New Roman"/>
                    </w:rPr>
                    <w:t>硫化氢</w:t>
                  </w:r>
                </w:p>
              </w:tc>
              <w:tc>
                <w:tcPr>
                  <w:tcW w:w="837" w:type="pct"/>
                  <w:tcBorders>
                    <w:tl2br w:val="nil"/>
                    <w:tr2bl w:val="nil"/>
                  </w:tcBorders>
                  <w:noWrap w:val="0"/>
                  <w:vAlign w:val="center"/>
                </w:tcPr>
                <w:p>
                  <w:pPr>
                    <w:pStyle w:val="38"/>
                    <w:bidi w:val="0"/>
                    <w:rPr>
                      <w:rFonts w:hint="default" w:ascii="Times New Roman" w:hAnsi="Times New Roman" w:cs="Times New Roman"/>
                    </w:rPr>
                  </w:pPr>
                  <w:r>
                    <w:rPr>
                      <w:rFonts w:hint="default" w:ascii="Times New Roman" w:hAnsi="Times New Roman" w:cs="Times New Roman"/>
                    </w:rPr>
                    <w:t>mg/m</w:t>
                  </w:r>
                  <w:r>
                    <w:rPr>
                      <w:rFonts w:hint="default" w:ascii="Times New Roman" w:hAnsi="Times New Roman" w:cs="Times New Roman"/>
                      <w:vertAlign w:val="superscript"/>
                    </w:rPr>
                    <w:t>3</w:t>
                  </w:r>
                </w:p>
              </w:tc>
              <w:tc>
                <w:tcPr>
                  <w:tcW w:w="928" w:type="pct"/>
                  <w:tcBorders>
                    <w:tl2br w:val="nil"/>
                    <w:tr2bl w:val="nil"/>
                  </w:tcBorders>
                  <w:noWrap w:val="0"/>
                  <w:vAlign w:val="center"/>
                </w:tcPr>
                <w:p>
                  <w:pPr>
                    <w:pStyle w:val="38"/>
                    <w:bidi w:val="0"/>
                    <w:rPr>
                      <w:rFonts w:hint="default" w:ascii="Times New Roman" w:hAnsi="Times New Roman" w:cs="Times New Roman"/>
                    </w:rPr>
                  </w:pPr>
                  <w:r>
                    <w:rPr>
                      <w:rFonts w:hint="default" w:ascii="Times New Roman" w:hAnsi="Times New Roman" w:cs="Times New Roman"/>
                    </w:rPr>
                    <w:t>0.06</w:t>
                  </w:r>
                </w:p>
              </w:tc>
              <w:tc>
                <w:tcPr>
                  <w:tcW w:w="1671" w:type="pct"/>
                  <w:vMerge w:val="continue"/>
                  <w:tcBorders>
                    <w:tl2br w:val="nil"/>
                    <w:tr2bl w:val="nil"/>
                  </w:tcBorders>
                  <w:noWrap w:val="0"/>
                  <w:vAlign w:val="center"/>
                </w:tcPr>
                <w:p>
                  <w:pPr>
                    <w:pStyle w:val="38"/>
                    <w:bidi w:val="0"/>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509" w:type="pct"/>
                  <w:tcBorders>
                    <w:tl2br w:val="nil"/>
                    <w:tr2bl w:val="nil"/>
                  </w:tcBorders>
                  <w:noWrap w:val="0"/>
                  <w:vAlign w:val="center"/>
                </w:tcPr>
                <w:p>
                  <w:pPr>
                    <w:pStyle w:val="38"/>
                    <w:bidi w:val="0"/>
                    <w:rPr>
                      <w:rFonts w:hint="eastAsia" w:ascii="Times New Roman" w:hAnsi="Times New Roman" w:eastAsia="宋体" w:cs="Times New Roman"/>
                      <w:lang w:val="en-US" w:eastAsia="zh-CN"/>
                    </w:rPr>
                  </w:pPr>
                  <w:r>
                    <w:rPr>
                      <w:rFonts w:hint="eastAsia" w:ascii="Times New Roman" w:hAnsi="Times New Roman" w:cs="Times New Roman"/>
                      <w:lang w:val="en-US" w:eastAsia="zh-CN"/>
                    </w:rPr>
                    <w:t>3</w:t>
                  </w:r>
                </w:p>
              </w:tc>
              <w:tc>
                <w:tcPr>
                  <w:tcW w:w="1053" w:type="pct"/>
                  <w:tcBorders>
                    <w:tl2br w:val="nil"/>
                    <w:tr2bl w:val="nil"/>
                  </w:tcBorders>
                  <w:noWrap w:val="0"/>
                  <w:vAlign w:val="center"/>
                </w:tcPr>
                <w:p>
                  <w:pPr>
                    <w:pStyle w:val="38"/>
                    <w:bidi w:val="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臭气浓度</w:t>
                  </w:r>
                </w:p>
              </w:tc>
              <w:tc>
                <w:tcPr>
                  <w:tcW w:w="837" w:type="pct"/>
                  <w:tcBorders>
                    <w:tl2br w:val="nil"/>
                    <w:tr2bl w:val="nil"/>
                  </w:tcBorders>
                  <w:noWrap w:val="0"/>
                  <w:vAlign w:val="center"/>
                </w:tcPr>
                <w:p>
                  <w:pPr>
                    <w:pStyle w:val="38"/>
                    <w:bidi w:val="0"/>
                    <w:rPr>
                      <w:rFonts w:hint="eastAsia" w:ascii="Times New Roman" w:hAnsi="Times New Roman" w:eastAsia="宋体" w:cs="Times New Roman"/>
                      <w:lang w:val="en-US" w:eastAsia="zh-CN"/>
                    </w:rPr>
                  </w:pPr>
                  <w:r>
                    <w:rPr>
                      <w:rFonts w:hint="eastAsia" w:ascii="Times New Roman" w:hAnsi="Times New Roman" w:cs="Times New Roman"/>
                      <w:lang w:val="en-US" w:eastAsia="zh-CN"/>
                    </w:rPr>
                    <w:t>无量纲</w:t>
                  </w:r>
                </w:p>
              </w:tc>
              <w:tc>
                <w:tcPr>
                  <w:tcW w:w="928" w:type="pct"/>
                  <w:tcBorders>
                    <w:tl2br w:val="nil"/>
                    <w:tr2bl w:val="nil"/>
                  </w:tcBorders>
                  <w:noWrap w:val="0"/>
                  <w:vAlign w:val="center"/>
                </w:tcPr>
                <w:p>
                  <w:pPr>
                    <w:pStyle w:val="38"/>
                    <w:bidi w:val="0"/>
                    <w:rPr>
                      <w:rFonts w:hint="default" w:ascii="Times New Roman" w:hAnsi="Times New Roman" w:eastAsia="宋体" w:cs="Times New Roman"/>
                      <w:lang w:val="en-US" w:eastAsia="zh-CN"/>
                    </w:rPr>
                  </w:pPr>
                  <w:r>
                    <w:rPr>
                      <w:rFonts w:hint="eastAsia" w:ascii="Times New Roman" w:hAnsi="Times New Roman" w:cs="Times New Roman"/>
                      <w:lang w:val="en-US" w:eastAsia="zh-CN"/>
                    </w:rPr>
                    <w:t>20</w:t>
                  </w:r>
                </w:p>
              </w:tc>
              <w:tc>
                <w:tcPr>
                  <w:tcW w:w="1671" w:type="pct"/>
                  <w:vMerge w:val="continue"/>
                  <w:tcBorders>
                    <w:tl2br w:val="nil"/>
                    <w:tr2bl w:val="nil"/>
                  </w:tcBorders>
                  <w:noWrap w:val="0"/>
                  <w:vAlign w:val="center"/>
                </w:tcPr>
                <w:p>
                  <w:pPr>
                    <w:pStyle w:val="38"/>
                    <w:bidi w:val="0"/>
                    <w:rPr>
                      <w:rFonts w:hint="default" w:ascii="Times New Roman" w:hAnsi="Times New Roman" w:cs="Times New Roman"/>
                    </w:rPr>
                  </w:pPr>
                </w:p>
              </w:tc>
            </w:tr>
          </w:tbl>
          <w:p>
            <w:pPr>
              <w:pStyle w:val="27"/>
              <w:bidi w:val="0"/>
              <w:rPr>
                <w:rFonts w:hint="default" w:ascii="Times New Roman" w:hAnsi="Times New Roman" w:eastAsia="宋体" w:cs="Times New Roman"/>
                <w:b/>
                <w:bCs/>
                <w:color w:val="auto"/>
                <w:kern w:val="0"/>
                <w:sz w:val="21"/>
                <w:szCs w:val="21"/>
                <w:lang w:val="en-US" w:eastAsia="zh-CN" w:bidi="th-TH"/>
              </w:rPr>
            </w:pPr>
            <w:r>
              <w:rPr>
                <w:rFonts w:hint="eastAsia" w:ascii="Times New Roman" w:hAnsi="Times New Roman" w:eastAsia="宋体" w:cs="Times New Roman"/>
                <w:b/>
                <w:bCs/>
                <w:color w:val="auto"/>
                <w:kern w:val="0"/>
                <w:sz w:val="21"/>
                <w:szCs w:val="21"/>
                <w:lang w:val="en-US" w:eastAsia="zh-CN" w:bidi="th-TH"/>
              </w:rPr>
              <w:t>表3-10 恶臭污染物排放标准值</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459"/>
              <w:gridCol w:w="1895"/>
              <w:gridCol w:w="1678"/>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158" w:type="dxa"/>
                  <w:vAlign w:val="center"/>
                </w:tcPr>
                <w:p>
                  <w:pPr>
                    <w:pStyle w:val="38"/>
                    <w:bidi w:val="0"/>
                    <w:jc w:val="center"/>
                    <w:rPr>
                      <w:rFonts w:hint="eastAsia"/>
                      <w:b/>
                      <w:bCs/>
                      <w:lang w:val="en-US" w:eastAsia="zh-CN"/>
                    </w:rPr>
                  </w:pPr>
                  <w:r>
                    <w:rPr>
                      <w:rFonts w:hint="eastAsia"/>
                      <w:b/>
                      <w:bCs/>
                      <w:lang w:val="en-US" w:eastAsia="zh-CN"/>
                    </w:rPr>
                    <w:t>序号</w:t>
                  </w:r>
                </w:p>
              </w:tc>
              <w:tc>
                <w:tcPr>
                  <w:tcW w:w="1459" w:type="dxa"/>
                  <w:vAlign w:val="center"/>
                </w:tcPr>
                <w:p>
                  <w:pPr>
                    <w:pStyle w:val="38"/>
                    <w:bidi w:val="0"/>
                    <w:jc w:val="center"/>
                    <w:rPr>
                      <w:rFonts w:hint="eastAsia"/>
                      <w:b/>
                      <w:bCs/>
                      <w:lang w:val="en-US" w:eastAsia="zh-CN"/>
                    </w:rPr>
                  </w:pPr>
                  <w:r>
                    <w:rPr>
                      <w:rFonts w:hint="eastAsia"/>
                      <w:b/>
                      <w:bCs/>
                      <w:lang w:val="en-US" w:eastAsia="zh-CN"/>
                    </w:rPr>
                    <w:t>控制项目</w:t>
                  </w:r>
                </w:p>
              </w:tc>
              <w:tc>
                <w:tcPr>
                  <w:tcW w:w="1895" w:type="dxa"/>
                  <w:vAlign w:val="center"/>
                </w:tcPr>
                <w:p>
                  <w:pPr>
                    <w:pStyle w:val="38"/>
                    <w:bidi w:val="0"/>
                    <w:jc w:val="center"/>
                    <w:rPr>
                      <w:rFonts w:hint="eastAsia"/>
                      <w:b/>
                      <w:bCs/>
                      <w:lang w:val="en-US" w:eastAsia="zh-CN"/>
                    </w:rPr>
                  </w:pPr>
                  <w:r>
                    <w:rPr>
                      <w:rFonts w:hint="eastAsia"/>
                      <w:b/>
                      <w:bCs/>
                      <w:lang w:val="en-US" w:eastAsia="zh-CN"/>
                    </w:rPr>
                    <w:t>排气筒高度（m）</w:t>
                  </w:r>
                </w:p>
              </w:tc>
              <w:tc>
                <w:tcPr>
                  <w:tcW w:w="1678" w:type="dxa"/>
                  <w:vAlign w:val="center"/>
                </w:tcPr>
                <w:p>
                  <w:pPr>
                    <w:pStyle w:val="38"/>
                    <w:bidi w:val="0"/>
                    <w:jc w:val="center"/>
                    <w:rPr>
                      <w:rFonts w:hint="eastAsia"/>
                      <w:b/>
                      <w:bCs/>
                      <w:lang w:val="en-US" w:eastAsia="zh-CN"/>
                    </w:rPr>
                  </w:pPr>
                  <w:r>
                    <w:rPr>
                      <w:rFonts w:hint="eastAsia"/>
                      <w:b/>
                      <w:bCs/>
                      <w:lang w:val="en-US" w:eastAsia="zh-CN"/>
                    </w:rPr>
                    <w:t>排放量（kg/h）</w:t>
                  </w:r>
                </w:p>
              </w:tc>
              <w:tc>
                <w:tcPr>
                  <w:tcW w:w="2009" w:type="dxa"/>
                  <w:vAlign w:val="center"/>
                </w:tcPr>
                <w:p>
                  <w:pPr>
                    <w:pStyle w:val="38"/>
                    <w:bidi w:val="0"/>
                    <w:jc w:val="center"/>
                    <w:rPr>
                      <w:rFonts w:hint="eastAsia"/>
                      <w:b/>
                      <w:bCs/>
                      <w:lang w:val="en-US" w:eastAsia="zh-CN"/>
                    </w:rPr>
                  </w:pPr>
                  <w:r>
                    <w:rPr>
                      <w:rFonts w:hint="eastAsia"/>
                      <w:b/>
                      <w:bCs/>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158" w:type="dxa"/>
                  <w:vAlign w:val="center"/>
                </w:tcPr>
                <w:p>
                  <w:pPr>
                    <w:pStyle w:val="38"/>
                    <w:bidi w:val="0"/>
                    <w:jc w:val="center"/>
                    <w:rPr>
                      <w:rFonts w:hint="default"/>
                      <w:lang w:val="en-US" w:eastAsia="zh-CN"/>
                    </w:rPr>
                  </w:pPr>
                  <w:r>
                    <w:rPr>
                      <w:rFonts w:hint="eastAsia"/>
                      <w:lang w:val="en-US" w:eastAsia="zh-CN"/>
                    </w:rPr>
                    <w:t>1</w:t>
                  </w:r>
                </w:p>
              </w:tc>
              <w:tc>
                <w:tcPr>
                  <w:tcW w:w="1459" w:type="dxa"/>
                  <w:vAlign w:val="center"/>
                </w:tcPr>
                <w:p>
                  <w:pPr>
                    <w:pStyle w:val="38"/>
                    <w:bidi w:val="0"/>
                    <w:jc w:val="center"/>
                    <w:rPr>
                      <w:rFonts w:hint="eastAsia"/>
                      <w:lang w:val="en-US" w:eastAsia="zh-CN"/>
                    </w:rPr>
                  </w:pPr>
                  <w:r>
                    <w:rPr>
                      <w:rFonts w:hint="default" w:ascii="Times New Roman" w:hAnsi="Times New Roman" w:cs="Times New Roman"/>
                    </w:rPr>
                    <w:t>硫化氢</w:t>
                  </w:r>
                </w:p>
              </w:tc>
              <w:tc>
                <w:tcPr>
                  <w:tcW w:w="1895" w:type="dxa"/>
                  <w:vAlign w:val="center"/>
                </w:tcPr>
                <w:p>
                  <w:pPr>
                    <w:pStyle w:val="38"/>
                    <w:bidi w:val="0"/>
                    <w:jc w:val="center"/>
                    <w:rPr>
                      <w:rFonts w:hint="default"/>
                      <w:lang w:val="en-US" w:eastAsia="zh-CN"/>
                    </w:rPr>
                  </w:pPr>
                  <w:r>
                    <w:rPr>
                      <w:rFonts w:hint="eastAsia"/>
                      <w:lang w:val="en-US" w:eastAsia="zh-CN"/>
                    </w:rPr>
                    <w:t>15</w:t>
                  </w:r>
                </w:p>
              </w:tc>
              <w:tc>
                <w:tcPr>
                  <w:tcW w:w="1678" w:type="dxa"/>
                  <w:vAlign w:val="center"/>
                </w:tcPr>
                <w:p>
                  <w:pPr>
                    <w:pStyle w:val="38"/>
                    <w:bidi w:val="0"/>
                    <w:jc w:val="center"/>
                    <w:rPr>
                      <w:rFonts w:hint="default"/>
                      <w:lang w:val="en-US" w:eastAsia="zh-CN"/>
                    </w:rPr>
                  </w:pPr>
                  <w:r>
                    <w:rPr>
                      <w:rFonts w:hint="eastAsia"/>
                      <w:lang w:val="en-US" w:eastAsia="zh-CN"/>
                    </w:rPr>
                    <w:t>0.33</w:t>
                  </w:r>
                </w:p>
              </w:tc>
              <w:tc>
                <w:tcPr>
                  <w:tcW w:w="2009" w:type="dxa"/>
                  <w:vMerge w:val="restart"/>
                  <w:vAlign w:val="center"/>
                </w:tcPr>
                <w:p>
                  <w:pPr>
                    <w:pStyle w:val="38"/>
                    <w:bidi w:val="0"/>
                    <w:jc w:val="center"/>
                    <w:rPr>
                      <w:rFonts w:hint="eastAsia"/>
                      <w:lang w:val="en-US" w:eastAsia="zh-CN"/>
                    </w:rPr>
                  </w:pPr>
                  <w:r>
                    <w:rPr>
                      <w:rFonts w:hint="default" w:ascii="Times New Roman" w:hAnsi="Times New Roman" w:cs="Times New Roman"/>
                    </w:rPr>
                    <w:t>《恶臭污染物排放标准》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158" w:type="dxa"/>
                  <w:vAlign w:val="center"/>
                </w:tcPr>
                <w:p>
                  <w:pPr>
                    <w:pStyle w:val="38"/>
                    <w:bidi w:val="0"/>
                    <w:jc w:val="center"/>
                    <w:rPr>
                      <w:rFonts w:hint="default"/>
                      <w:lang w:val="en-US" w:eastAsia="zh-CN"/>
                    </w:rPr>
                  </w:pPr>
                  <w:r>
                    <w:rPr>
                      <w:rFonts w:hint="eastAsia"/>
                      <w:lang w:val="en-US" w:eastAsia="zh-CN"/>
                    </w:rPr>
                    <w:t>2</w:t>
                  </w:r>
                </w:p>
              </w:tc>
              <w:tc>
                <w:tcPr>
                  <w:tcW w:w="1459" w:type="dxa"/>
                  <w:vAlign w:val="center"/>
                </w:tcPr>
                <w:p>
                  <w:pPr>
                    <w:pStyle w:val="38"/>
                    <w:bidi w:val="0"/>
                    <w:jc w:val="center"/>
                    <w:rPr>
                      <w:rFonts w:hint="eastAsia"/>
                      <w:lang w:val="en-US" w:eastAsia="zh-CN"/>
                    </w:rPr>
                  </w:pPr>
                  <w:r>
                    <w:rPr>
                      <w:rFonts w:hint="default" w:ascii="Times New Roman" w:hAnsi="Times New Roman" w:cs="Times New Roman"/>
                    </w:rPr>
                    <w:t>氨</w:t>
                  </w:r>
                </w:p>
              </w:tc>
              <w:tc>
                <w:tcPr>
                  <w:tcW w:w="1895" w:type="dxa"/>
                  <w:vAlign w:val="center"/>
                </w:tcPr>
                <w:p>
                  <w:pPr>
                    <w:pStyle w:val="38"/>
                    <w:bidi w:val="0"/>
                    <w:jc w:val="center"/>
                    <w:rPr>
                      <w:rFonts w:hint="eastAsia"/>
                      <w:lang w:val="en-US" w:eastAsia="zh-CN"/>
                    </w:rPr>
                  </w:pPr>
                  <w:r>
                    <w:rPr>
                      <w:rFonts w:hint="eastAsia"/>
                      <w:lang w:val="en-US" w:eastAsia="zh-CN"/>
                    </w:rPr>
                    <w:t>15</w:t>
                  </w:r>
                </w:p>
              </w:tc>
              <w:tc>
                <w:tcPr>
                  <w:tcW w:w="1678" w:type="dxa"/>
                  <w:vAlign w:val="center"/>
                </w:tcPr>
                <w:p>
                  <w:pPr>
                    <w:pStyle w:val="38"/>
                    <w:bidi w:val="0"/>
                    <w:jc w:val="center"/>
                    <w:rPr>
                      <w:rFonts w:hint="default"/>
                      <w:lang w:val="en-US" w:eastAsia="zh-CN"/>
                    </w:rPr>
                  </w:pPr>
                  <w:r>
                    <w:rPr>
                      <w:rFonts w:hint="eastAsia"/>
                      <w:lang w:val="en-US" w:eastAsia="zh-CN"/>
                    </w:rPr>
                    <w:t>4.9</w:t>
                  </w:r>
                </w:p>
              </w:tc>
              <w:tc>
                <w:tcPr>
                  <w:tcW w:w="2009" w:type="dxa"/>
                  <w:vMerge w:val="continue"/>
                  <w:vAlign w:val="center"/>
                </w:tcPr>
                <w:p>
                  <w:pPr>
                    <w:pStyle w:val="38"/>
                    <w:bidi w:val="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158" w:type="dxa"/>
                  <w:vAlign w:val="center"/>
                </w:tcPr>
                <w:p>
                  <w:pPr>
                    <w:pStyle w:val="38"/>
                    <w:bidi w:val="0"/>
                    <w:jc w:val="center"/>
                    <w:rPr>
                      <w:rFonts w:hint="default"/>
                      <w:lang w:val="en-US" w:eastAsia="zh-CN"/>
                    </w:rPr>
                  </w:pPr>
                  <w:r>
                    <w:rPr>
                      <w:rFonts w:hint="eastAsia"/>
                      <w:lang w:val="en-US" w:eastAsia="zh-CN"/>
                    </w:rPr>
                    <w:t>3</w:t>
                  </w:r>
                </w:p>
              </w:tc>
              <w:tc>
                <w:tcPr>
                  <w:tcW w:w="1459" w:type="dxa"/>
                  <w:vAlign w:val="center"/>
                </w:tcPr>
                <w:p>
                  <w:pPr>
                    <w:pStyle w:val="38"/>
                    <w:bidi w:val="0"/>
                    <w:jc w:val="center"/>
                    <w:rPr>
                      <w:rFonts w:hint="eastAsia"/>
                      <w:lang w:val="en-US" w:eastAsia="zh-CN"/>
                    </w:rPr>
                  </w:pPr>
                  <w:r>
                    <w:rPr>
                      <w:rFonts w:hint="eastAsia" w:ascii="Times New Roman" w:hAnsi="Times New Roman" w:cs="Times New Roman"/>
                      <w:lang w:val="en-US" w:eastAsia="zh-CN"/>
                    </w:rPr>
                    <w:t>臭气浓度</w:t>
                  </w:r>
                  <w:r>
                    <w:rPr>
                      <w:rFonts w:hint="eastAsia"/>
                      <w:lang w:val="en-US" w:eastAsia="zh-CN"/>
                    </w:rPr>
                    <w:t>（无量纲）</w:t>
                  </w:r>
                </w:p>
              </w:tc>
              <w:tc>
                <w:tcPr>
                  <w:tcW w:w="1895" w:type="dxa"/>
                  <w:vAlign w:val="center"/>
                </w:tcPr>
                <w:p>
                  <w:pPr>
                    <w:pStyle w:val="38"/>
                    <w:bidi w:val="0"/>
                    <w:jc w:val="center"/>
                    <w:rPr>
                      <w:rFonts w:hint="eastAsia"/>
                      <w:lang w:val="en-US" w:eastAsia="zh-CN"/>
                    </w:rPr>
                  </w:pPr>
                  <w:r>
                    <w:rPr>
                      <w:rFonts w:hint="eastAsia"/>
                      <w:lang w:val="en-US" w:eastAsia="zh-CN"/>
                    </w:rPr>
                    <w:t>15</w:t>
                  </w:r>
                </w:p>
              </w:tc>
              <w:tc>
                <w:tcPr>
                  <w:tcW w:w="1678" w:type="dxa"/>
                  <w:vAlign w:val="center"/>
                </w:tcPr>
                <w:p>
                  <w:pPr>
                    <w:pStyle w:val="38"/>
                    <w:bidi w:val="0"/>
                    <w:jc w:val="center"/>
                    <w:rPr>
                      <w:rFonts w:hint="default"/>
                      <w:lang w:val="en-US" w:eastAsia="zh-CN"/>
                    </w:rPr>
                  </w:pPr>
                  <w:r>
                    <w:rPr>
                      <w:rFonts w:hint="eastAsia"/>
                      <w:lang w:val="en-US" w:eastAsia="zh-CN"/>
                    </w:rPr>
                    <w:t>2000</w:t>
                  </w:r>
                </w:p>
              </w:tc>
              <w:tc>
                <w:tcPr>
                  <w:tcW w:w="2009" w:type="dxa"/>
                  <w:vMerge w:val="continue"/>
                  <w:vAlign w:val="center"/>
                </w:tcPr>
                <w:p>
                  <w:pPr>
                    <w:pStyle w:val="38"/>
                    <w:bidi w:val="0"/>
                    <w:jc w:val="center"/>
                    <w:rPr>
                      <w:rFonts w:hint="eastAsia"/>
                      <w:lang w:val="en-US" w:eastAsia="zh-CN"/>
                    </w:rPr>
                  </w:pPr>
                </w:p>
              </w:tc>
            </w:tr>
          </w:tbl>
          <w:p>
            <w:pPr>
              <w:pStyle w:val="9"/>
              <w:spacing w:before="192" w:after="192"/>
            </w:pPr>
            <w:r>
              <w:rPr>
                <w:rFonts w:hint="eastAsia"/>
                <w:lang w:val="en-US" w:eastAsia="zh-CN"/>
              </w:rPr>
              <w:t xml:space="preserve">3.3.2 </w:t>
            </w:r>
            <w:r>
              <w:rPr>
                <w:rFonts w:hint="eastAsia"/>
              </w:rPr>
              <w:t>水污染物排放标准</w:t>
            </w:r>
          </w:p>
          <w:p>
            <w:pPr>
              <w:adjustRightInd w:val="0"/>
              <w:snapToGrid w:val="0"/>
              <w:spacing w:line="360" w:lineRule="auto"/>
              <w:ind w:firstLine="480" w:firstLineChars="200"/>
              <w:jc w:val="left"/>
            </w:pPr>
            <w:r>
              <w:rPr>
                <w:rFonts w:hint="eastAsia" w:cs="Times New Roman"/>
                <w:kern w:val="0"/>
                <w:sz w:val="24"/>
                <w:u w:val="single"/>
                <w:lang w:eastAsia="zh-CN"/>
              </w:rPr>
              <w:t>本项目生产废水通过管道输送至凤凰县垃圾填埋场渗滤液处理系统，渗滤液进入调节池调节后通过提升泵提升至原水储罐，通过砂滤、芯式过滤器进入一级碟管式反渗透系统，一级碟管式反渗透浓缩液进入浓缩池最后回灌，透过液进入二级碟管式反渗透系统，二级碟管式反渗透系统透过液经过脱气塔脱除透过液中溶解的酸性气体后可达到《生活垃圾填埋污染控制标准》(GB16889-97)三级标准进而经专用管道排入风凰县污水处理厂集中处置达到</w:t>
            </w:r>
            <w:r>
              <w:rPr>
                <w:rFonts w:cs="Times New Roman"/>
                <w:szCs w:val="24"/>
                <w:u w:val="single"/>
              </w:rPr>
              <w:t>《城镇污水处理厂污水排放标准》（GB18918-2002）及其修改单中一级</w:t>
            </w:r>
            <w:r>
              <w:rPr>
                <w:rFonts w:cs="Times New Roman"/>
                <w:szCs w:val="24"/>
                <w:u w:val="single"/>
                <w:lang w:val="en-US"/>
              </w:rPr>
              <w:t>A</w:t>
            </w:r>
            <w:r>
              <w:rPr>
                <w:rFonts w:cs="Times New Roman"/>
                <w:szCs w:val="24"/>
                <w:u w:val="single"/>
              </w:rPr>
              <w:t>标准</w:t>
            </w:r>
            <w:r>
              <w:rPr>
                <w:rFonts w:hint="eastAsia" w:cs="Times New Roman"/>
                <w:szCs w:val="24"/>
                <w:u w:val="single"/>
                <w:lang w:eastAsia="zh-CN"/>
              </w:rPr>
              <w:t>后达标外排</w:t>
            </w:r>
            <w:r>
              <w:rPr>
                <w:rFonts w:hint="default" w:ascii="Times New Roman" w:hAnsi="Times New Roman" w:cs="Times New Roman"/>
                <w:kern w:val="0"/>
                <w:sz w:val="24"/>
                <w:u w:val="single"/>
              </w:rPr>
              <w:t>。项目生活废水经化粪池收集</w:t>
            </w:r>
            <w:r>
              <w:rPr>
                <w:rFonts w:hint="eastAsia" w:cs="Times New Roman"/>
                <w:kern w:val="0"/>
                <w:sz w:val="24"/>
                <w:u w:val="single"/>
                <w:lang w:eastAsia="zh-CN"/>
              </w:rPr>
              <w:t>后外运做农肥</w:t>
            </w:r>
            <w:r>
              <w:rPr>
                <w:rFonts w:hint="default" w:ascii="Times New Roman" w:hAnsi="Times New Roman" w:cs="Times New Roman"/>
                <w:kern w:val="0"/>
                <w:sz w:val="24"/>
                <w:szCs w:val="24"/>
                <w:highlight w:val="none"/>
                <w:u w:val="single"/>
              </w:rPr>
              <w:t>。</w:t>
            </w:r>
          </w:p>
          <w:p>
            <w:pPr>
              <w:pStyle w:val="45"/>
              <w:bidi w:val="0"/>
              <w:rPr>
                <w:rFonts w:hint="eastAsia"/>
                <w:lang w:val="en-US" w:eastAsia="zh-CN"/>
              </w:rPr>
            </w:pPr>
            <w:r>
              <w:rPr>
                <w:rFonts w:hint="eastAsia"/>
                <w:lang w:eastAsia="zh-CN"/>
              </w:rPr>
              <w:t>表</w:t>
            </w:r>
            <w:r>
              <w:rPr>
                <w:rFonts w:hint="eastAsia"/>
                <w:lang w:val="en-US" w:eastAsia="zh-CN"/>
              </w:rPr>
              <w:t>3-10 《垃圾填埋场污染控制标准》（GB16889-2008）</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2975"/>
              <w:gridCol w:w="2080"/>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83" w:type="dxa"/>
                  <w:vAlign w:val="center"/>
                </w:tcPr>
                <w:p>
                  <w:pPr>
                    <w:pStyle w:val="38"/>
                    <w:bidi w:val="0"/>
                    <w:jc w:val="center"/>
                    <w:rPr>
                      <w:rFonts w:hint="default"/>
                      <w:b/>
                      <w:bCs/>
                      <w:lang w:val="en-US" w:eastAsia="zh-CN"/>
                    </w:rPr>
                  </w:pPr>
                  <w:r>
                    <w:rPr>
                      <w:rFonts w:hint="eastAsia"/>
                      <w:b/>
                      <w:bCs/>
                      <w:lang w:val="en-US" w:eastAsia="zh-CN"/>
                    </w:rPr>
                    <w:t>序号</w:t>
                  </w:r>
                </w:p>
              </w:tc>
              <w:tc>
                <w:tcPr>
                  <w:tcW w:w="2975" w:type="dxa"/>
                  <w:vAlign w:val="center"/>
                </w:tcPr>
                <w:p>
                  <w:pPr>
                    <w:pStyle w:val="38"/>
                    <w:bidi w:val="0"/>
                    <w:jc w:val="center"/>
                    <w:rPr>
                      <w:rFonts w:hint="default"/>
                      <w:b/>
                      <w:bCs/>
                      <w:lang w:val="en-US" w:eastAsia="zh-CN"/>
                    </w:rPr>
                  </w:pPr>
                  <w:r>
                    <w:rPr>
                      <w:rFonts w:hint="eastAsia"/>
                      <w:b/>
                      <w:bCs/>
                      <w:lang w:val="en-US" w:eastAsia="zh-CN"/>
                    </w:rPr>
                    <w:t>控制污染物</w:t>
                  </w:r>
                </w:p>
              </w:tc>
              <w:tc>
                <w:tcPr>
                  <w:tcW w:w="2080" w:type="dxa"/>
                  <w:vAlign w:val="center"/>
                </w:tcPr>
                <w:p>
                  <w:pPr>
                    <w:pStyle w:val="38"/>
                    <w:bidi w:val="0"/>
                    <w:jc w:val="center"/>
                    <w:rPr>
                      <w:rFonts w:hint="default"/>
                      <w:b/>
                      <w:bCs/>
                      <w:lang w:val="en-US" w:eastAsia="zh-CN"/>
                    </w:rPr>
                  </w:pPr>
                  <w:r>
                    <w:rPr>
                      <w:rFonts w:hint="eastAsia"/>
                      <w:b/>
                      <w:bCs/>
                      <w:lang w:val="en-US" w:eastAsia="zh-CN"/>
                    </w:rPr>
                    <w:t>排放质量浓度限值</w:t>
                  </w:r>
                </w:p>
              </w:tc>
              <w:tc>
                <w:tcPr>
                  <w:tcW w:w="2080" w:type="dxa"/>
                  <w:vAlign w:val="center"/>
                </w:tcPr>
                <w:p>
                  <w:pPr>
                    <w:pStyle w:val="38"/>
                    <w:bidi w:val="0"/>
                    <w:jc w:val="center"/>
                    <w:rPr>
                      <w:rFonts w:hint="default"/>
                      <w:b/>
                      <w:bCs/>
                      <w:lang w:val="en-US" w:eastAsia="zh-CN"/>
                    </w:rPr>
                  </w:pPr>
                  <w:r>
                    <w:rPr>
                      <w:rFonts w:hint="eastAsia"/>
                      <w:b/>
                      <w:bCs/>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83" w:type="dxa"/>
                  <w:vAlign w:val="center"/>
                </w:tcPr>
                <w:p>
                  <w:pPr>
                    <w:pStyle w:val="38"/>
                    <w:bidi w:val="0"/>
                    <w:jc w:val="center"/>
                    <w:rPr>
                      <w:rFonts w:hint="default"/>
                      <w:lang w:val="en-US" w:eastAsia="zh-CN"/>
                    </w:rPr>
                  </w:pPr>
                  <w:r>
                    <w:rPr>
                      <w:rFonts w:hint="eastAsia"/>
                      <w:lang w:val="en-US" w:eastAsia="zh-CN"/>
                    </w:rPr>
                    <w:t>1</w:t>
                  </w:r>
                </w:p>
              </w:tc>
              <w:tc>
                <w:tcPr>
                  <w:tcW w:w="2975" w:type="dxa"/>
                  <w:vAlign w:val="center"/>
                </w:tcPr>
                <w:p>
                  <w:pPr>
                    <w:pStyle w:val="38"/>
                    <w:bidi w:val="0"/>
                    <w:jc w:val="center"/>
                    <w:rPr>
                      <w:rFonts w:hint="default"/>
                      <w:lang w:val="en-US" w:eastAsia="zh-CN"/>
                    </w:rPr>
                  </w:pPr>
                  <w:r>
                    <w:rPr>
                      <w:rFonts w:hint="eastAsia"/>
                      <w:lang w:val="en-US" w:eastAsia="zh-CN"/>
                    </w:rPr>
                    <w:t>BOD</w:t>
                  </w:r>
                  <w:r>
                    <w:rPr>
                      <w:rFonts w:hint="eastAsia"/>
                      <w:vertAlign w:val="subscript"/>
                      <w:lang w:val="en-US" w:eastAsia="zh-CN"/>
                    </w:rPr>
                    <w:t>5</w:t>
                  </w:r>
                </w:p>
              </w:tc>
              <w:tc>
                <w:tcPr>
                  <w:tcW w:w="2080" w:type="dxa"/>
                  <w:vAlign w:val="center"/>
                </w:tcPr>
                <w:p>
                  <w:pPr>
                    <w:pStyle w:val="38"/>
                    <w:bidi w:val="0"/>
                    <w:jc w:val="center"/>
                    <w:rPr>
                      <w:rFonts w:hint="default"/>
                      <w:lang w:val="en-US" w:eastAsia="zh-CN"/>
                    </w:rPr>
                  </w:pPr>
                  <w:r>
                    <w:rPr>
                      <w:rFonts w:hint="eastAsia"/>
                      <w:lang w:val="en-US" w:eastAsia="zh-CN"/>
                    </w:rPr>
                    <w:t>30</w:t>
                  </w:r>
                </w:p>
              </w:tc>
              <w:tc>
                <w:tcPr>
                  <w:tcW w:w="2080" w:type="dxa"/>
                  <w:vAlign w:val="center"/>
                </w:tcPr>
                <w:p>
                  <w:pPr>
                    <w:pStyle w:val="38"/>
                    <w:bidi w:val="0"/>
                    <w:jc w:val="center"/>
                    <w:rPr>
                      <w:rFonts w:hint="default"/>
                      <w:lang w:val="en-US" w:eastAsia="zh-CN"/>
                    </w:rPr>
                  </w:pPr>
                  <w:r>
                    <w:rPr>
                      <w:rFonts w:hint="eastAsia"/>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83" w:type="dxa"/>
                  <w:vAlign w:val="center"/>
                </w:tcPr>
                <w:p>
                  <w:pPr>
                    <w:pStyle w:val="38"/>
                    <w:bidi w:val="0"/>
                    <w:jc w:val="center"/>
                    <w:rPr>
                      <w:rFonts w:hint="default"/>
                      <w:lang w:val="en-US" w:eastAsia="zh-CN"/>
                    </w:rPr>
                  </w:pPr>
                  <w:r>
                    <w:rPr>
                      <w:rFonts w:hint="eastAsia"/>
                      <w:lang w:val="en-US" w:eastAsia="zh-CN"/>
                    </w:rPr>
                    <w:t>2</w:t>
                  </w:r>
                </w:p>
              </w:tc>
              <w:tc>
                <w:tcPr>
                  <w:tcW w:w="2975" w:type="dxa"/>
                  <w:vAlign w:val="center"/>
                </w:tcPr>
                <w:p>
                  <w:pPr>
                    <w:pStyle w:val="38"/>
                    <w:bidi w:val="0"/>
                    <w:jc w:val="center"/>
                    <w:rPr>
                      <w:rFonts w:hint="default"/>
                      <w:lang w:val="en-US" w:eastAsia="zh-CN"/>
                    </w:rPr>
                  </w:pPr>
                  <w:r>
                    <w:rPr>
                      <w:rFonts w:hint="eastAsia"/>
                      <w:lang w:val="en-US" w:eastAsia="zh-CN"/>
                    </w:rPr>
                    <w:t>CODcr</w:t>
                  </w:r>
                </w:p>
              </w:tc>
              <w:tc>
                <w:tcPr>
                  <w:tcW w:w="2080" w:type="dxa"/>
                  <w:vAlign w:val="center"/>
                </w:tcPr>
                <w:p>
                  <w:pPr>
                    <w:pStyle w:val="38"/>
                    <w:bidi w:val="0"/>
                    <w:jc w:val="center"/>
                    <w:rPr>
                      <w:rFonts w:hint="default"/>
                      <w:lang w:val="en-US" w:eastAsia="zh-CN"/>
                    </w:rPr>
                  </w:pPr>
                  <w:r>
                    <w:rPr>
                      <w:rFonts w:hint="eastAsia"/>
                      <w:lang w:val="en-US" w:eastAsia="zh-CN"/>
                    </w:rPr>
                    <w:t>100</w:t>
                  </w:r>
                </w:p>
              </w:tc>
              <w:tc>
                <w:tcPr>
                  <w:tcW w:w="2080" w:type="dxa"/>
                  <w:vAlign w:val="center"/>
                </w:tcPr>
                <w:p>
                  <w:pPr>
                    <w:pStyle w:val="38"/>
                    <w:bidi w:val="0"/>
                    <w:jc w:val="center"/>
                    <w:rPr>
                      <w:rFonts w:hint="default"/>
                      <w:lang w:val="en-US" w:eastAsia="zh-CN"/>
                    </w:rPr>
                  </w:pPr>
                  <w:r>
                    <w:rPr>
                      <w:rFonts w:hint="eastAsia"/>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83" w:type="dxa"/>
                  <w:vAlign w:val="center"/>
                </w:tcPr>
                <w:p>
                  <w:pPr>
                    <w:pStyle w:val="38"/>
                    <w:bidi w:val="0"/>
                    <w:jc w:val="center"/>
                    <w:rPr>
                      <w:rFonts w:hint="default"/>
                      <w:lang w:val="en-US" w:eastAsia="zh-CN"/>
                    </w:rPr>
                  </w:pPr>
                  <w:r>
                    <w:rPr>
                      <w:rFonts w:hint="eastAsia"/>
                      <w:lang w:val="en-US" w:eastAsia="zh-CN"/>
                    </w:rPr>
                    <w:t>3</w:t>
                  </w:r>
                </w:p>
              </w:tc>
              <w:tc>
                <w:tcPr>
                  <w:tcW w:w="2975" w:type="dxa"/>
                  <w:vAlign w:val="center"/>
                </w:tcPr>
                <w:p>
                  <w:pPr>
                    <w:pStyle w:val="38"/>
                    <w:bidi w:val="0"/>
                    <w:jc w:val="center"/>
                    <w:rPr>
                      <w:rFonts w:hint="default"/>
                      <w:lang w:val="en-US" w:eastAsia="zh-CN"/>
                    </w:rPr>
                  </w:pPr>
                  <w:r>
                    <w:rPr>
                      <w:rFonts w:hint="eastAsia"/>
                      <w:lang w:val="en-US" w:eastAsia="zh-CN"/>
                    </w:rPr>
                    <w:t>悬浮物</w:t>
                  </w:r>
                </w:p>
              </w:tc>
              <w:tc>
                <w:tcPr>
                  <w:tcW w:w="2080" w:type="dxa"/>
                  <w:vAlign w:val="center"/>
                </w:tcPr>
                <w:p>
                  <w:pPr>
                    <w:pStyle w:val="38"/>
                    <w:bidi w:val="0"/>
                    <w:jc w:val="center"/>
                    <w:rPr>
                      <w:rFonts w:hint="default"/>
                      <w:lang w:val="en-US" w:eastAsia="zh-CN"/>
                    </w:rPr>
                  </w:pPr>
                  <w:r>
                    <w:rPr>
                      <w:rFonts w:hint="eastAsia"/>
                      <w:lang w:val="en-US" w:eastAsia="zh-CN"/>
                    </w:rPr>
                    <w:t>30</w:t>
                  </w:r>
                </w:p>
              </w:tc>
              <w:tc>
                <w:tcPr>
                  <w:tcW w:w="2080" w:type="dxa"/>
                  <w:vAlign w:val="center"/>
                </w:tcPr>
                <w:p>
                  <w:pPr>
                    <w:pStyle w:val="38"/>
                    <w:bidi w:val="0"/>
                    <w:jc w:val="center"/>
                    <w:rPr>
                      <w:rFonts w:hint="default"/>
                      <w:lang w:val="en-US" w:eastAsia="zh-CN"/>
                    </w:rPr>
                  </w:pPr>
                  <w:r>
                    <w:rPr>
                      <w:rFonts w:hint="eastAsia"/>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83" w:type="dxa"/>
                  <w:vAlign w:val="center"/>
                </w:tcPr>
                <w:p>
                  <w:pPr>
                    <w:pStyle w:val="38"/>
                    <w:bidi w:val="0"/>
                    <w:jc w:val="center"/>
                    <w:rPr>
                      <w:rFonts w:hint="default"/>
                      <w:lang w:val="en-US" w:eastAsia="zh-CN"/>
                    </w:rPr>
                  </w:pPr>
                  <w:r>
                    <w:rPr>
                      <w:rFonts w:hint="eastAsia"/>
                      <w:lang w:val="en-US" w:eastAsia="zh-CN"/>
                    </w:rPr>
                    <w:t>4</w:t>
                  </w:r>
                </w:p>
              </w:tc>
              <w:tc>
                <w:tcPr>
                  <w:tcW w:w="2975" w:type="dxa"/>
                  <w:vAlign w:val="center"/>
                </w:tcPr>
                <w:p>
                  <w:pPr>
                    <w:pStyle w:val="38"/>
                    <w:bidi w:val="0"/>
                    <w:jc w:val="center"/>
                    <w:rPr>
                      <w:rFonts w:hint="default"/>
                      <w:lang w:val="en-US" w:eastAsia="zh-CN"/>
                    </w:rPr>
                  </w:pPr>
                  <w:r>
                    <w:rPr>
                      <w:rFonts w:hint="eastAsia"/>
                      <w:lang w:val="en-US" w:eastAsia="zh-CN"/>
                    </w:rPr>
                    <w:t>氨氮</w:t>
                  </w:r>
                </w:p>
              </w:tc>
              <w:tc>
                <w:tcPr>
                  <w:tcW w:w="2080" w:type="dxa"/>
                  <w:vAlign w:val="center"/>
                </w:tcPr>
                <w:p>
                  <w:pPr>
                    <w:pStyle w:val="38"/>
                    <w:bidi w:val="0"/>
                    <w:jc w:val="center"/>
                    <w:rPr>
                      <w:rFonts w:hint="default"/>
                      <w:lang w:val="en-US" w:eastAsia="zh-CN"/>
                    </w:rPr>
                  </w:pPr>
                  <w:r>
                    <w:rPr>
                      <w:rFonts w:hint="eastAsia"/>
                      <w:lang w:val="en-US" w:eastAsia="zh-CN"/>
                    </w:rPr>
                    <w:t>25</w:t>
                  </w:r>
                </w:p>
              </w:tc>
              <w:tc>
                <w:tcPr>
                  <w:tcW w:w="2080" w:type="dxa"/>
                  <w:vAlign w:val="center"/>
                </w:tcPr>
                <w:p>
                  <w:pPr>
                    <w:pStyle w:val="38"/>
                    <w:bidi w:val="0"/>
                    <w:jc w:val="center"/>
                    <w:rPr>
                      <w:rFonts w:hint="default"/>
                      <w:lang w:val="en-US" w:eastAsia="zh-CN"/>
                    </w:rPr>
                  </w:pPr>
                  <w:r>
                    <w:rPr>
                      <w:rFonts w:hint="eastAsia"/>
                      <w:lang w:val="en-US" w:eastAsia="zh-CN"/>
                    </w:rPr>
                    <w:t>mg/L</w:t>
                  </w:r>
                </w:p>
              </w:tc>
            </w:tr>
          </w:tbl>
          <w:p>
            <w:pPr>
              <w:pStyle w:val="45"/>
              <w:bidi w:val="0"/>
              <w:rPr>
                <w:rFonts w:hint="default"/>
                <w:u w:val="single"/>
                <w:lang w:val="en-US" w:eastAsia="zh-CN"/>
              </w:rPr>
            </w:pPr>
            <w:r>
              <w:rPr>
                <w:rFonts w:hint="eastAsia"/>
                <w:u w:val="single"/>
                <w:lang w:val="en-US" w:eastAsia="zh-CN"/>
              </w:rPr>
              <w:t xml:space="preserve">表3-11  </w:t>
            </w:r>
            <w:r>
              <w:rPr>
                <w:u w:val="single"/>
              </w:rPr>
              <w:t>《城镇污水处理厂污水排放标准》（GB18918-2002）一级</w:t>
            </w:r>
            <w:r>
              <w:rPr>
                <w:u w:val="single"/>
                <w:lang w:val="en-US"/>
              </w:rPr>
              <w:t>A</w:t>
            </w:r>
            <w:r>
              <w:rPr>
                <w:u w:val="single"/>
              </w:rPr>
              <w:t>标准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2975"/>
              <w:gridCol w:w="2080"/>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83" w:type="dxa"/>
                  <w:vAlign w:val="center"/>
                </w:tcPr>
                <w:p>
                  <w:pPr>
                    <w:pStyle w:val="38"/>
                    <w:bidi w:val="0"/>
                    <w:jc w:val="center"/>
                    <w:rPr>
                      <w:rFonts w:hint="default"/>
                      <w:b/>
                      <w:bCs/>
                      <w:u w:val="single"/>
                      <w:lang w:val="en-US" w:eastAsia="zh-CN"/>
                    </w:rPr>
                  </w:pPr>
                  <w:r>
                    <w:rPr>
                      <w:rFonts w:hint="eastAsia"/>
                      <w:b/>
                      <w:bCs/>
                      <w:u w:val="single"/>
                      <w:lang w:val="en-US" w:eastAsia="zh-CN"/>
                    </w:rPr>
                    <w:t>序号</w:t>
                  </w:r>
                </w:p>
              </w:tc>
              <w:tc>
                <w:tcPr>
                  <w:tcW w:w="2975" w:type="dxa"/>
                  <w:vAlign w:val="center"/>
                </w:tcPr>
                <w:p>
                  <w:pPr>
                    <w:pStyle w:val="38"/>
                    <w:bidi w:val="0"/>
                    <w:jc w:val="center"/>
                    <w:rPr>
                      <w:rFonts w:hint="default"/>
                      <w:b/>
                      <w:bCs/>
                      <w:u w:val="single"/>
                      <w:lang w:val="en-US" w:eastAsia="zh-CN"/>
                    </w:rPr>
                  </w:pPr>
                  <w:r>
                    <w:rPr>
                      <w:rFonts w:hint="eastAsia"/>
                      <w:b/>
                      <w:bCs/>
                      <w:u w:val="single"/>
                      <w:lang w:val="en-US" w:eastAsia="zh-CN"/>
                    </w:rPr>
                    <w:t>基本控制项目</w:t>
                  </w:r>
                </w:p>
              </w:tc>
              <w:tc>
                <w:tcPr>
                  <w:tcW w:w="2080" w:type="dxa"/>
                  <w:vAlign w:val="center"/>
                </w:tcPr>
                <w:p>
                  <w:pPr>
                    <w:pStyle w:val="38"/>
                    <w:bidi w:val="0"/>
                    <w:jc w:val="center"/>
                    <w:rPr>
                      <w:rFonts w:hint="default"/>
                      <w:b/>
                      <w:bCs/>
                      <w:u w:val="single"/>
                      <w:lang w:val="en-US" w:eastAsia="zh-CN"/>
                    </w:rPr>
                  </w:pPr>
                  <w:r>
                    <w:rPr>
                      <w:rFonts w:hint="eastAsia"/>
                      <w:b/>
                      <w:bCs/>
                      <w:u w:val="single"/>
                      <w:lang w:val="en-US" w:eastAsia="zh-CN"/>
                    </w:rPr>
                    <w:t>一级A标准</w:t>
                  </w:r>
                </w:p>
              </w:tc>
              <w:tc>
                <w:tcPr>
                  <w:tcW w:w="2080" w:type="dxa"/>
                  <w:vAlign w:val="center"/>
                </w:tcPr>
                <w:p>
                  <w:pPr>
                    <w:pStyle w:val="38"/>
                    <w:bidi w:val="0"/>
                    <w:jc w:val="center"/>
                    <w:rPr>
                      <w:rFonts w:hint="default"/>
                      <w:b/>
                      <w:bCs/>
                      <w:u w:val="single"/>
                      <w:lang w:val="en-US" w:eastAsia="zh-CN"/>
                    </w:rPr>
                  </w:pPr>
                  <w:r>
                    <w:rPr>
                      <w:rFonts w:hint="eastAsia"/>
                      <w:b/>
                      <w:bCs/>
                      <w:u w:val="singl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83" w:type="dxa"/>
                  <w:vAlign w:val="center"/>
                </w:tcPr>
                <w:p>
                  <w:pPr>
                    <w:pStyle w:val="38"/>
                    <w:bidi w:val="0"/>
                    <w:jc w:val="center"/>
                    <w:rPr>
                      <w:rFonts w:hint="default"/>
                      <w:u w:val="single"/>
                      <w:lang w:val="en-US" w:eastAsia="zh-CN"/>
                    </w:rPr>
                  </w:pPr>
                  <w:r>
                    <w:rPr>
                      <w:rFonts w:hint="eastAsia"/>
                      <w:u w:val="single"/>
                      <w:lang w:val="en-US" w:eastAsia="zh-CN"/>
                    </w:rPr>
                    <w:t>1</w:t>
                  </w:r>
                </w:p>
              </w:tc>
              <w:tc>
                <w:tcPr>
                  <w:tcW w:w="2975" w:type="dxa"/>
                  <w:vAlign w:val="center"/>
                </w:tcPr>
                <w:p>
                  <w:pPr>
                    <w:pStyle w:val="38"/>
                    <w:bidi w:val="0"/>
                    <w:jc w:val="center"/>
                    <w:rPr>
                      <w:rFonts w:hint="default"/>
                      <w:u w:val="single"/>
                      <w:lang w:val="en-US" w:eastAsia="zh-CN"/>
                    </w:rPr>
                  </w:pPr>
                  <w:r>
                    <w:rPr>
                      <w:rFonts w:hint="eastAsia"/>
                      <w:u w:val="single"/>
                      <w:lang w:val="en-US" w:eastAsia="zh-CN"/>
                    </w:rPr>
                    <w:t>BOD</w:t>
                  </w:r>
                  <w:r>
                    <w:rPr>
                      <w:rFonts w:hint="eastAsia"/>
                      <w:u w:val="single"/>
                      <w:vertAlign w:val="subscript"/>
                      <w:lang w:val="en-US" w:eastAsia="zh-CN"/>
                    </w:rPr>
                    <w:t>5</w:t>
                  </w:r>
                </w:p>
              </w:tc>
              <w:tc>
                <w:tcPr>
                  <w:tcW w:w="2080" w:type="dxa"/>
                  <w:vAlign w:val="center"/>
                </w:tcPr>
                <w:p>
                  <w:pPr>
                    <w:pStyle w:val="38"/>
                    <w:bidi w:val="0"/>
                    <w:jc w:val="center"/>
                    <w:rPr>
                      <w:rFonts w:hint="default"/>
                      <w:u w:val="single"/>
                      <w:lang w:val="en-US" w:eastAsia="zh-CN"/>
                    </w:rPr>
                  </w:pPr>
                  <w:r>
                    <w:rPr>
                      <w:rFonts w:hint="eastAsia"/>
                      <w:u w:val="single"/>
                      <w:lang w:val="en-US" w:eastAsia="zh-CN"/>
                    </w:rPr>
                    <w:t>10</w:t>
                  </w:r>
                </w:p>
              </w:tc>
              <w:tc>
                <w:tcPr>
                  <w:tcW w:w="2080" w:type="dxa"/>
                  <w:vAlign w:val="center"/>
                </w:tcPr>
                <w:p>
                  <w:pPr>
                    <w:pStyle w:val="38"/>
                    <w:bidi w:val="0"/>
                    <w:jc w:val="center"/>
                    <w:rPr>
                      <w:rFonts w:hint="default"/>
                      <w:u w:val="single"/>
                      <w:lang w:val="en-US" w:eastAsia="zh-CN"/>
                    </w:rPr>
                  </w:pPr>
                  <w:r>
                    <w:rPr>
                      <w:rFonts w:hint="eastAsia"/>
                      <w:u w:val="singl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83" w:type="dxa"/>
                  <w:vAlign w:val="center"/>
                </w:tcPr>
                <w:p>
                  <w:pPr>
                    <w:pStyle w:val="38"/>
                    <w:bidi w:val="0"/>
                    <w:jc w:val="center"/>
                    <w:rPr>
                      <w:rFonts w:hint="default"/>
                      <w:u w:val="single"/>
                      <w:lang w:val="en-US" w:eastAsia="zh-CN"/>
                    </w:rPr>
                  </w:pPr>
                  <w:r>
                    <w:rPr>
                      <w:rFonts w:hint="eastAsia"/>
                      <w:u w:val="single"/>
                      <w:lang w:val="en-US" w:eastAsia="zh-CN"/>
                    </w:rPr>
                    <w:t>2</w:t>
                  </w:r>
                </w:p>
              </w:tc>
              <w:tc>
                <w:tcPr>
                  <w:tcW w:w="2975" w:type="dxa"/>
                  <w:vAlign w:val="center"/>
                </w:tcPr>
                <w:p>
                  <w:pPr>
                    <w:pStyle w:val="38"/>
                    <w:bidi w:val="0"/>
                    <w:jc w:val="center"/>
                    <w:rPr>
                      <w:rFonts w:hint="default"/>
                      <w:u w:val="single"/>
                      <w:lang w:val="en-US" w:eastAsia="zh-CN"/>
                    </w:rPr>
                  </w:pPr>
                  <w:r>
                    <w:rPr>
                      <w:rFonts w:hint="eastAsia"/>
                      <w:u w:val="single"/>
                      <w:lang w:val="en-US" w:eastAsia="zh-CN"/>
                    </w:rPr>
                    <w:t>CODcr</w:t>
                  </w:r>
                </w:p>
              </w:tc>
              <w:tc>
                <w:tcPr>
                  <w:tcW w:w="2080" w:type="dxa"/>
                  <w:vAlign w:val="center"/>
                </w:tcPr>
                <w:p>
                  <w:pPr>
                    <w:pStyle w:val="38"/>
                    <w:bidi w:val="0"/>
                    <w:jc w:val="center"/>
                    <w:rPr>
                      <w:rFonts w:hint="default"/>
                      <w:u w:val="single"/>
                      <w:lang w:val="en-US" w:eastAsia="zh-CN"/>
                    </w:rPr>
                  </w:pPr>
                  <w:r>
                    <w:rPr>
                      <w:rFonts w:hint="eastAsia"/>
                      <w:u w:val="single"/>
                      <w:lang w:val="en-US" w:eastAsia="zh-CN"/>
                    </w:rPr>
                    <w:t>50</w:t>
                  </w:r>
                </w:p>
              </w:tc>
              <w:tc>
                <w:tcPr>
                  <w:tcW w:w="2080" w:type="dxa"/>
                  <w:vAlign w:val="center"/>
                </w:tcPr>
                <w:p>
                  <w:pPr>
                    <w:pStyle w:val="38"/>
                    <w:bidi w:val="0"/>
                    <w:jc w:val="center"/>
                    <w:rPr>
                      <w:rFonts w:hint="default"/>
                      <w:u w:val="single"/>
                      <w:lang w:val="en-US" w:eastAsia="zh-CN"/>
                    </w:rPr>
                  </w:pPr>
                  <w:r>
                    <w:rPr>
                      <w:rFonts w:hint="eastAsia"/>
                      <w:u w:val="singl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83" w:type="dxa"/>
                  <w:vAlign w:val="center"/>
                </w:tcPr>
                <w:p>
                  <w:pPr>
                    <w:pStyle w:val="38"/>
                    <w:bidi w:val="0"/>
                    <w:jc w:val="center"/>
                    <w:rPr>
                      <w:rFonts w:hint="default"/>
                      <w:u w:val="single"/>
                      <w:lang w:val="en-US" w:eastAsia="zh-CN"/>
                    </w:rPr>
                  </w:pPr>
                  <w:r>
                    <w:rPr>
                      <w:rFonts w:hint="eastAsia"/>
                      <w:u w:val="single"/>
                      <w:lang w:val="en-US" w:eastAsia="zh-CN"/>
                    </w:rPr>
                    <w:t>3</w:t>
                  </w:r>
                </w:p>
              </w:tc>
              <w:tc>
                <w:tcPr>
                  <w:tcW w:w="2975" w:type="dxa"/>
                  <w:vAlign w:val="center"/>
                </w:tcPr>
                <w:p>
                  <w:pPr>
                    <w:pStyle w:val="38"/>
                    <w:bidi w:val="0"/>
                    <w:jc w:val="center"/>
                    <w:rPr>
                      <w:rFonts w:hint="default"/>
                      <w:u w:val="single"/>
                      <w:lang w:val="en-US" w:eastAsia="zh-CN"/>
                    </w:rPr>
                  </w:pPr>
                  <w:r>
                    <w:rPr>
                      <w:rFonts w:hint="eastAsia"/>
                      <w:u w:val="single"/>
                      <w:lang w:val="en-US" w:eastAsia="zh-CN"/>
                    </w:rPr>
                    <w:t>悬浮物</w:t>
                  </w:r>
                </w:p>
              </w:tc>
              <w:tc>
                <w:tcPr>
                  <w:tcW w:w="2080" w:type="dxa"/>
                  <w:vAlign w:val="center"/>
                </w:tcPr>
                <w:p>
                  <w:pPr>
                    <w:pStyle w:val="38"/>
                    <w:bidi w:val="0"/>
                    <w:jc w:val="center"/>
                    <w:rPr>
                      <w:rFonts w:hint="default"/>
                      <w:u w:val="single"/>
                      <w:lang w:val="en-US" w:eastAsia="zh-CN"/>
                    </w:rPr>
                  </w:pPr>
                  <w:r>
                    <w:rPr>
                      <w:rFonts w:hint="eastAsia"/>
                      <w:u w:val="single"/>
                      <w:lang w:val="en-US" w:eastAsia="zh-CN"/>
                    </w:rPr>
                    <w:t>10</w:t>
                  </w:r>
                </w:p>
              </w:tc>
              <w:tc>
                <w:tcPr>
                  <w:tcW w:w="2080" w:type="dxa"/>
                  <w:vAlign w:val="center"/>
                </w:tcPr>
                <w:p>
                  <w:pPr>
                    <w:pStyle w:val="38"/>
                    <w:bidi w:val="0"/>
                    <w:jc w:val="center"/>
                    <w:rPr>
                      <w:rFonts w:hint="default"/>
                      <w:u w:val="single"/>
                      <w:lang w:val="en-US" w:eastAsia="zh-CN"/>
                    </w:rPr>
                  </w:pPr>
                  <w:r>
                    <w:rPr>
                      <w:rFonts w:hint="eastAsia"/>
                      <w:u w:val="singl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83" w:type="dxa"/>
                  <w:vAlign w:val="center"/>
                </w:tcPr>
                <w:p>
                  <w:pPr>
                    <w:pStyle w:val="38"/>
                    <w:bidi w:val="0"/>
                    <w:jc w:val="center"/>
                    <w:rPr>
                      <w:rFonts w:hint="default"/>
                      <w:u w:val="single"/>
                      <w:lang w:val="en-US" w:eastAsia="zh-CN"/>
                    </w:rPr>
                  </w:pPr>
                  <w:r>
                    <w:rPr>
                      <w:rFonts w:hint="eastAsia"/>
                      <w:u w:val="single"/>
                      <w:lang w:val="en-US" w:eastAsia="zh-CN"/>
                    </w:rPr>
                    <w:t>4</w:t>
                  </w:r>
                </w:p>
              </w:tc>
              <w:tc>
                <w:tcPr>
                  <w:tcW w:w="2975" w:type="dxa"/>
                  <w:vAlign w:val="center"/>
                </w:tcPr>
                <w:p>
                  <w:pPr>
                    <w:pStyle w:val="38"/>
                    <w:bidi w:val="0"/>
                    <w:jc w:val="center"/>
                    <w:rPr>
                      <w:rFonts w:hint="default"/>
                      <w:u w:val="single"/>
                      <w:lang w:val="en-US" w:eastAsia="zh-CN"/>
                    </w:rPr>
                  </w:pPr>
                  <w:r>
                    <w:rPr>
                      <w:rFonts w:hint="eastAsia"/>
                      <w:u w:val="single"/>
                      <w:lang w:val="en-US" w:eastAsia="zh-CN"/>
                    </w:rPr>
                    <w:t>氨氮</w:t>
                  </w:r>
                </w:p>
              </w:tc>
              <w:tc>
                <w:tcPr>
                  <w:tcW w:w="2080" w:type="dxa"/>
                  <w:vAlign w:val="center"/>
                </w:tcPr>
                <w:p>
                  <w:pPr>
                    <w:pStyle w:val="38"/>
                    <w:bidi w:val="0"/>
                    <w:jc w:val="center"/>
                    <w:rPr>
                      <w:rFonts w:hint="default"/>
                      <w:u w:val="single"/>
                      <w:lang w:val="en-US" w:eastAsia="zh-CN"/>
                    </w:rPr>
                  </w:pPr>
                  <w:r>
                    <w:rPr>
                      <w:rFonts w:hint="eastAsia"/>
                      <w:u w:val="single"/>
                      <w:lang w:val="en-US" w:eastAsia="zh-CN"/>
                    </w:rPr>
                    <w:t>5</w:t>
                  </w:r>
                </w:p>
              </w:tc>
              <w:tc>
                <w:tcPr>
                  <w:tcW w:w="2080" w:type="dxa"/>
                  <w:vAlign w:val="center"/>
                </w:tcPr>
                <w:p>
                  <w:pPr>
                    <w:pStyle w:val="38"/>
                    <w:bidi w:val="0"/>
                    <w:jc w:val="center"/>
                    <w:rPr>
                      <w:rFonts w:hint="default"/>
                      <w:u w:val="single"/>
                      <w:lang w:val="en-US" w:eastAsia="zh-CN"/>
                    </w:rPr>
                  </w:pPr>
                  <w:r>
                    <w:rPr>
                      <w:rFonts w:hint="eastAsia"/>
                      <w:u w:val="single"/>
                      <w:lang w:val="en-US" w:eastAsia="zh-CN"/>
                    </w:rPr>
                    <w:t>mg/L</w:t>
                  </w:r>
                </w:p>
              </w:tc>
            </w:tr>
          </w:tbl>
          <w:p>
            <w:pPr>
              <w:pStyle w:val="9"/>
              <w:spacing w:before="192" w:after="192"/>
            </w:pPr>
            <w:r>
              <w:rPr>
                <w:rFonts w:hint="eastAsia"/>
                <w:lang w:val="en-US" w:eastAsia="zh-CN"/>
              </w:rPr>
              <w:t xml:space="preserve">3.3.3 </w:t>
            </w:r>
            <w:r>
              <w:rPr>
                <w:rFonts w:hint="eastAsia"/>
              </w:rPr>
              <w:t>噪声</w:t>
            </w:r>
            <w:bookmarkStart w:id="49" w:name="_GoBack"/>
            <w:bookmarkEnd w:id="49"/>
            <w:r>
              <w:rPr>
                <w:rFonts w:hint="eastAsia"/>
              </w:rPr>
              <w:t>排放标准</w:t>
            </w:r>
          </w:p>
          <w:p>
            <w:pPr>
              <w:wordWrap/>
              <w:ind w:firstLine="480"/>
              <w:rPr>
                <w:rFonts w:cs="Times New Roman"/>
                <w:szCs w:val="24"/>
              </w:rPr>
            </w:pPr>
            <w:r>
              <w:rPr>
                <w:rFonts w:hint="eastAsia" w:cs="Times New Roman"/>
                <w:szCs w:val="24"/>
                <w:lang w:val="en-US" w:eastAsia="zh-CN"/>
              </w:rPr>
              <w:t>项目西侧位于G209道路35</w:t>
            </w:r>
            <w:r>
              <w:rPr>
                <w:rFonts w:hint="eastAsia"/>
                <w:lang w:val="en-US" w:eastAsia="zh-CN"/>
              </w:rPr>
              <w:t>m</w:t>
            </w:r>
            <w:r>
              <w:rPr>
                <w:rFonts w:hint="eastAsia" w:cs="Times New Roman"/>
                <w:szCs w:val="24"/>
                <w:lang w:val="en-US" w:eastAsia="zh-CN"/>
              </w:rPr>
              <w:t>以内，项目西侧</w:t>
            </w:r>
            <w:r>
              <w:rPr>
                <w:rFonts w:cs="Times New Roman"/>
                <w:szCs w:val="24"/>
              </w:rPr>
              <w:t>噪声执行《工业企业厂界环境噪声排放标准》(GB12348-2008)中的</w:t>
            </w:r>
            <w:r>
              <w:rPr>
                <w:rFonts w:hint="eastAsia" w:cs="Times New Roman"/>
                <w:szCs w:val="24"/>
                <w:lang w:val="en-US" w:eastAsia="zh-CN"/>
              </w:rPr>
              <w:t>4</w:t>
            </w:r>
            <w:r>
              <w:rPr>
                <w:rFonts w:cs="Times New Roman"/>
                <w:szCs w:val="24"/>
              </w:rPr>
              <w:t>类标准</w:t>
            </w:r>
            <w:r>
              <w:rPr>
                <w:rFonts w:hint="eastAsia" w:cs="Times New Roman"/>
                <w:szCs w:val="24"/>
                <w:lang w:eastAsia="zh-CN"/>
              </w:rPr>
              <w:t>，其他区域执行</w:t>
            </w:r>
            <w:r>
              <w:rPr>
                <w:rFonts w:cs="Times New Roman"/>
                <w:szCs w:val="24"/>
              </w:rPr>
              <w:t>《工业企业厂界环境噪声排放标准》(GB12348-2008)中的</w:t>
            </w:r>
            <w:r>
              <w:rPr>
                <w:rFonts w:hint="eastAsia" w:cs="Times New Roman"/>
                <w:szCs w:val="24"/>
                <w:lang w:val="en-US" w:eastAsia="zh-CN"/>
              </w:rPr>
              <w:t>2</w:t>
            </w:r>
            <w:r>
              <w:rPr>
                <w:rFonts w:cs="Times New Roman"/>
                <w:szCs w:val="24"/>
              </w:rPr>
              <w:t>类标准。</w:t>
            </w:r>
          </w:p>
          <w:p>
            <w:pPr>
              <w:pStyle w:val="39"/>
            </w:pPr>
            <w:r>
              <w:t>表</w:t>
            </w:r>
            <w:r>
              <w:rPr>
                <w:rFonts w:hint="eastAsia"/>
                <w:lang w:val="en-US" w:eastAsia="zh-CN"/>
              </w:rPr>
              <w:t>3-12</w:t>
            </w:r>
            <w:r>
              <w:rPr>
                <w:rFonts w:hint="eastAsia"/>
                <w:lang w:val="en-US"/>
              </w:rPr>
              <w:t xml:space="preserve">   </w:t>
            </w:r>
            <w:r>
              <w:rPr>
                <w:lang w:val="en-US"/>
              </w:rPr>
              <w:t>《工厂企业厂界环境噪声排放标准》</w:t>
            </w:r>
            <w:r>
              <w:t>（GB22337-2008）单位：dB(A)</w:t>
            </w:r>
          </w:p>
          <w:tbl>
            <w:tblPr>
              <w:tblStyle w:val="31"/>
              <w:tblW w:w="8579"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2858"/>
              <w:gridCol w:w="2860"/>
              <w:gridCol w:w="286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7" w:hRule="atLeast"/>
                <w:jc w:val="center"/>
              </w:trPr>
              <w:tc>
                <w:tcPr>
                  <w:tcW w:w="2858" w:type="dxa"/>
                  <w:tcBorders>
                    <w:bottom w:val="single" w:color="auto" w:sz="4" w:space="0"/>
                    <w:right w:val="single" w:color="auto" w:sz="4" w:space="0"/>
                  </w:tcBorders>
                  <w:vAlign w:val="center"/>
                </w:tcPr>
                <w:p>
                  <w:pPr>
                    <w:pStyle w:val="38"/>
                  </w:pPr>
                  <w:r>
                    <w:t>类别</w:t>
                  </w:r>
                </w:p>
              </w:tc>
              <w:tc>
                <w:tcPr>
                  <w:tcW w:w="2860" w:type="dxa"/>
                  <w:tcBorders>
                    <w:left w:val="single" w:color="auto" w:sz="4" w:space="0"/>
                    <w:bottom w:val="single" w:color="auto" w:sz="4" w:space="0"/>
                    <w:right w:val="single" w:color="auto" w:sz="4" w:space="0"/>
                  </w:tcBorders>
                  <w:vAlign w:val="center"/>
                </w:tcPr>
                <w:p>
                  <w:pPr>
                    <w:pStyle w:val="38"/>
                  </w:pPr>
                  <w:r>
                    <w:t>昼间</w:t>
                  </w:r>
                </w:p>
              </w:tc>
              <w:tc>
                <w:tcPr>
                  <w:tcW w:w="2861" w:type="dxa"/>
                  <w:tcBorders>
                    <w:left w:val="single" w:color="auto" w:sz="4" w:space="0"/>
                    <w:bottom w:val="single" w:color="auto" w:sz="4" w:space="0"/>
                  </w:tcBorders>
                  <w:vAlign w:val="center"/>
                </w:tcPr>
                <w:p>
                  <w:pPr>
                    <w:pStyle w:val="38"/>
                  </w:pPr>
                  <w:r>
                    <w:t>夜间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27" w:hRule="atLeast"/>
                <w:jc w:val="center"/>
              </w:trPr>
              <w:tc>
                <w:tcPr>
                  <w:tcW w:w="2858" w:type="dxa"/>
                  <w:tcBorders>
                    <w:top w:val="single" w:color="auto" w:sz="4" w:space="0"/>
                    <w:bottom w:val="single" w:color="auto" w:sz="4" w:space="0"/>
                    <w:right w:val="single" w:color="auto" w:sz="4" w:space="0"/>
                  </w:tcBorders>
                  <w:vAlign w:val="center"/>
                </w:tcPr>
                <w:p>
                  <w:pPr>
                    <w:pStyle w:val="38"/>
                    <w:rPr>
                      <w:rFonts w:hint="eastAsia" w:eastAsia="宋体"/>
                      <w:lang w:eastAsia="zh-CN"/>
                    </w:rPr>
                  </w:pPr>
                  <w:r>
                    <w:rPr>
                      <w:rFonts w:hint="eastAsia"/>
                      <w:lang w:val="en-US" w:eastAsia="zh-CN"/>
                    </w:rPr>
                    <w:t>2</w:t>
                  </w:r>
                </w:p>
              </w:tc>
              <w:tc>
                <w:tcPr>
                  <w:tcW w:w="2860" w:type="dxa"/>
                  <w:tcBorders>
                    <w:top w:val="single" w:color="auto" w:sz="4" w:space="0"/>
                    <w:left w:val="single" w:color="auto" w:sz="4" w:space="0"/>
                    <w:bottom w:val="single" w:color="auto" w:sz="4" w:space="0"/>
                    <w:right w:val="single" w:color="auto" w:sz="4" w:space="0"/>
                  </w:tcBorders>
                  <w:vAlign w:val="center"/>
                </w:tcPr>
                <w:p>
                  <w:pPr>
                    <w:pStyle w:val="38"/>
                    <w:rPr>
                      <w:rFonts w:hint="default" w:eastAsia="宋体"/>
                      <w:lang w:val="en-US" w:eastAsia="zh-CN"/>
                    </w:rPr>
                  </w:pPr>
                  <w:r>
                    <w:rPr>
                      <w:rFonts w:hint="eastAsia"/>
                      <w:lang w:val="en-US" w:eastAsia="zh-CN"/>
                    </w:rPr>
                    <w:t>60</w:t>
                  </w:r>
                </w:p>
              </w:tc>
              <w:tc>
                <w:tcPr>
                  <w:tcW w:w="2861" w:type="dxa"/>
                  <w:tcBorders>
                    <w:top w:val="single" w:color="auto" w:sz="4" w:space="0"/>
                    <w:left w:val="single" w:color="auto" w:sz="4" w:space="0"/>
                    <w:bottom w:val="single" w:color="auto" w:sz="4" w:space="0"/>
                  </w:tcBorders>
                  <w:vAlign w:val="center"/>
                </w:tcPr>
                <w:p>
                  <w:pPr>
                    <w:pStyle w:val="38"/>
                    <w:rPr>
                      <w:rFonts w:hint="default" w:eastAsia="宋体"/>
                      <w:lang w:val="en-US" w:eastAsia="zh-CN"/>
                    </w:rPr>
                  </w:pPr>
                  <w:r>
                    <w:rPr>
                      <w:rFonts w:hint="eastAsia"/>
                      <w:lang w:val="en-US" w:eastAsia="zh-CN"/>
                    </w:rPr>
                    <w:t>50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27" w:hRule="atLeast"/>
                <w:jc w:val="center"/>
              </w:trPr>
              <w:tc>
                <w:tcPr>
                  <w:tcW w:w="2858" w:type="dxa"/>
                  <w:tcBorders>
                    <w:top w:val="single" w:color="auto" w:sz="4" w:space="0"/>
                    <w:right w:val="single" w:color="auto" w:sz="4" w:space="0"/>
                  </w:tcBorders>
                  <w:vAlign w:val="center"/>
                </w:tcPr>
                <w:p>
                  <w:pPr>
                    <w:pStyle w:val="38"/>
                    <w:rPr>
                      <w:rFonts w:hint="eastAsia" w:eastAsia="宋体"/>
                      <w:lang w:val="en-US" w:eastAsia="zh-CN"/>
                    </w:rPr>
                  </w:pPr>
                  <w:r>
                    <w:rPr>
                      <w:rFonts w:hint="eastAsia"/>
                      <w:lang w:val="en-US" w:eastAsia="zh-CN"/>
                    </w:rPr>
                    <w:t>4</w:t>
                  </w:r>
                </w:p>
              </w:tc>
              <w:tc>
                <w:tcPr>
                  <w:tcW w:w="2860" w:type="dxa"/>
                  <w:tcBorders>
                    <w:top w:val="single" w:color="auto" w:sz="4" w:space="0"/>
                    <w:left w:val="single" w:color="auto" w:sz="4" w:space="0"/>
                    <w:right w:val="single" w:color="auto" w:sz="4" w:space="0"/>
                  </w:tcBorders>
                  <w:vAlign w:val="center"/>
                </w:tcPr>
                <w:p>
                  <w:pPr>
                    <w:pStyle w:val="38"/>
                    <w:rPr>
                      <w:rFonts w:hint="default" w:eastAsia="宋体"/>
                      <w:lang w:val="en-US" w:eastAsia="zh-CN"/>
                    </w:rPr>
                  </w:pPr>
                  <w:r>
                    <w:rPr>
                      <w:rFonts w:hint="eastAsia"/>
                      <w:lang w:val="en-US" w:eastAsia="zh-CN"/>
                    </w:rPr>
                    <w:t>70</w:t>
                  </w:r>
                </w:p>
              </w:tc>
              <w:tc>
                <w:tcPr>
                  <w:tcW w:w="2861" w:type="dxa"/>
                  <w:tcBorders>
                    <w:top w:val="single" w:color="auto" w:sz="4" w:space="0"/>
                    <w:left w:val="single" w:color="auto" w:sz="4" w:space="0"/>
                  </w:tcBorders>
                  <w:vAlign w:val="center"/>
                </w:tcPr>
                <w:p>
                  <w:pPr>
                    <w:pStyle w:val="38"/>
                    <w:rPr>
                      <w:rFonts w:hint="default" w:eastAsia="宋体"/>
                      <w:lang w:val="en-US" w:eastAsia="zh-CN"/>
                    </w:rPr>
                  </w:pPr>
                  <w:r>
                    <w:rPr>
                      <w:rFonts w:hint="eastAsia"/>
                      <w:lang w:val="en-US" w:eastAsia="zh-CN"/>
                    </w:rPr>
                    <w:t>55</w:t>
                  </w:r>
                </w:p>
              </w:tc>
            </w:tr>
          </w:tbl>
          <w:p>
            <w:pPr>
              <w:pStyle w:val="9"/>
              <w:spacing w:before="192" w:after="192"/>
            </w:pPr>
            <w:r>
              <w:rPr>
                <w:rFonts w:hint="eastAsia"/>
                <w:lang w:val="en-US"/>
              </w:rPr>
              <w:t>3</w:t>
            </w:r>
            <w:r>
              <w:rPr>
                <w:lang w:val="en-US"/>
              </w:rPr>
              <w:t>.</w:t>
            </w:r>
            <w:r>
              <w:rPr>
                <w:rFonts w:hint="eastAsia"/>
                <w:lang w:val="en-US" w:eastAsia="zh-CN"/>
              </w:rPr>
              <w:t>3.4</w:t>
            </w:r>
            <w:r>
              <w:rPr>
                <w:rFonts w:hint="eastAsia"/>
                <w:lang w:val="en-US"/>
              </w:rPr>
              <w:t xml:space="preserve"> </w:t>
            </w:r>
            <w:r>
              <w:rPr>
                <w:rFonts w:hint="eastAsia"/>
              </w:rPr>
              <w:t>固体废物控制标准</w:t>
            </w:r>
          </w:p>
          <w:p>
            <w:pPr>
              <w:wordWrap/>
              <w:ind w:firstLine="480"/>
              <w:jc w:val="both"/>
            </w:pPr>
            <w:r>
              <w:rPr>
                <w:rFonts w:hint="eastAsia" w:cs="Times New Roman"/>
                <w:szCs w:val="24"/>
                <w:u w:val="single"/>
              </w:rPr>
              <w:t>项目生活垃圾储存及处置执行《生活垃圾填埋场污染控制标准》（GB16889-2008），建筑垃圾和其它一般工业固体废物执行《一般工业固体废物贮存和填埋污染控制标准》（GB18599-2020）</w:t>
            </w:r>
            <w:r>
              <w:rPr>
                <w:rFonts w:hint="eastAsia" w:cs="Times New Roman"/>
                <w:szCs w:val="24"/>
                <w:u w:val="single"/>
                <w:lang w:eastAsia="zh-CN"/>
              </w:rPr>
              <w:t>，危险废物贮存执行《危险废物贮存污染控制标准》(GB18597-2001)及修改单以及《危险废物收集储存运输技术规范》(HJ2025-2012)中相关规定要求进行危险废物的包装、贮存设施的选址、设计、运行、安全防护、监测和关闭等要求进行合理的贮存</w:t>
            </w:r>
            <w:r>
              <w:rPr>
                <w:rFonts w:cs="Times New Roman"/>
                <w:szCs w:val="24"/>
                <w:u w:val="singl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8" w:hRule="atLeast"/>
          <w:jc w:val="center"/>
        </w:trPr>
        <w:tc>
          <w:tcPr>
            <w:tcW w:w="502" w:type="dxa"/>
            <w:tcBorders>
              <w:top w:val="single" w:color="000000" w:sz="4" w:space="0"/>
              <w:right w:val="single" w:color="000000" w:sz="4" w:space="0"/>
            </w:tcBorders>
            <w:vAlign w:val="center"/>
          </w:tcPr>
          <w:p>
            <w:pPr>
              <w:pStyle w:val="39"/>
              <w:rPr>
                <w:sz w:val="32"/>
                <w:szCs w:val="32"/>
              </w:rPr>
            </w:pPr>
            <w:r>
              <w:rPr>
                <w:rFonts w:hint="eastAsia"/>
                <w:sz w:val="32"/>
                <w:szCs w:val="32"/>
              </w:rPr>
              <w:t>总</w:t>
            </w:r>
            <w:r>
              <w:rPr>
                <w:sz w:val="32"/>
                <w:szCs w:val="32"/>
              </w:rPr>
              <w:t>量控制指标</w:t>
            </w:r>
          </w:p>
        </w:tc>
        <w:tc>
          <w:tcPr>
            <w:tcW w:w="8569" w:type="dxa"/>
            <w:tcBorders>
              <w:top w:val="single" w:color="000000" w:sz="4" w:space="0"/>
              <w:left w:val="single" w:color="000000" w:sz="4" w:space="0"/>
            </w:tcBorders>
            <w:vAlign w:val="center"/>
          </w:tcPr>
          <w:p>
            <w:pPr>
              <w:wordWrap/>
              <w:autoSpaceDE/>
              <w:autoSpaceDN/>
              <w:ind w:firstLine="480"/>
              <w:jc w:val="center"/>
              <w:rPr>
                <w:sz w:val="21"/>
              </w:rPr>
            </w:pPr>
            <w:r>
              <w:rPr>
                <w:rFonts w:hint="eastAsia" w:cs="Times New Roman"/>
                <w:u w:val="none"/>
                <w:lang w:val="en-US" w:eastAsia="zh-CN"/>
              </w:rPr>
              <w:t>无</w:t>
            </w:r>
          </w:p>
        </w:tc>
      </w:tr>
    </w:tbl>
    <w:p>
      <w:pPr>
        <w:ind w:firstLine="420"/>
        <w:jc w:val="right"/>
        <w:rPr>
          <w:sz w:val="21"/>
        </w:rPr>
        <w:sectPr>
          <w:footerReference r:id="rId16" w:type="default"/>
          <w:footerReference r:id="rId17" w:type="even"/>
          <w:pgSz w:w="11910" w:h="16850"/>
          <w:pgMar w:top="1440" w:right="1800" w:bottom="1440" w:left="1800" w:header="0" w:footer="817" w:gutter="0"/>
          <w:cols w:space="720" w:num="1"/>
        </w:sectPr>
      </w:pPr>
    </w:p>
    <w:p>
      <w:pPr>
        <w:pStyle w:val="7"/>
      </w:pPr>
      <w:bookmarkStart w:id="37" w:name="_Toc13748"/>
      <w:bookmarkStart w:id="38" w:name="_Toc18737"/>
      <w:r>
        <w:t>四、主要环境影响和保护措施</w:t>
      </w:r>
      <w:bookmarkEnd w:id="37"/>
      <w:bookmarkEnd w:id="38"/>
    </w:p>
    <w:tbl>
      <w:tblPr>
        <w:tblStyle w:val="31"/>
        <w:tblW w:w="907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6"/>
        <w:gridCol w:w="86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406" w:type="dxa"/>
            <w:tcBorders>
              <w:bottom w:val="single" w:color="000000" w:sz="4" w:space="0"/>
              <w:right w:val="single" w:color="000000" w:sz="4" w:space="0"/>
            </w:tcBorders>
            <w:vAlign w:val="center"/>
          </w:tcPr>
          <w:p>
            <w:pPr>
              <w:pStyle w:val="39"/>
              <w:rPr>
                <w:sz w:val="32"/>
                <w:szCs w:val="32"/>
              </w:rPr>
            </w:pPr>
            <w:r>
              <w:rPr>
                <w:sz w:val="32"/>
                <w:szCs w:val="32"/>
              </w:rPr>
              <w:t>施工期环境保护措施</w:t>
            </w:r>
          </w:p>
        </w:tc>
        <w:tc>
          <w:tcPr>
            <w:tcW w:w="8665" w:type="dxa"/>
            <w:tcBorders>
              <w:left w:val="single" w:color="000000" w:sz="4" w:space="0"/>
              <w:bottom w:val="single" w:color="000000" w:sz="4" w:space="0"/>
            </w:tcBorders>
          </w:tcPr>
          <w:p>
            <w:pPr>
              <w:pStyle w:val="8"/>
              <w:ind w:left="0" w:leftChars="0" w:firstLine="0" w:firstLineChars="0"/>
              <w:rPr>
                <w:b/>
                <w:bCs/>
                <w:lang w:val="en-US"/>
              </w:rPr>
            </w:pPr>
            <w:r>
              <w:rPr>
                <w:rFonts w:hint="eastAsia"/>
                <w:b/>
                <w:bCs/>
                <w:lang w:val="en-US"/>
              </w:rPr>
              <w:t>4.1 施工期环境保护措施</w:t>
            </w:r>
          </w:p>
          <w:p>
            <w:pPr>
              <w:pStyle w:val="9"/>
              <w:spacing w:before="192" w:after="192"/>
              <w:rPr>
                <w:lang w:val="en-US"/>
              </w:rPr>
            </w:pPr>
            <w:r>
              <w:rPr>
                <w:rFonts w:hint="eastAsia"/>
                <w:lang w:val="en-US"/>
              </w:rPr>
              <w:t>4.1.1</w:t>
            </w:r>
            <w:r>
              <w:rPr>
                <w:rFonts w:hint="eastAsia"/>
                <w:lang w:val="en-US" w:eastAsia="zh-CN"/>
              </w:rPr>
              <w:t xml:space="preserve"> </w:t>
            </w:r>
            <w:r>
              <w:rPr>
                <w:rFonts w:hint="eastAsia"/>
                <w:lang w:val="en-US"/>
              </w:rPr>
              <w:t>施工扬尘防治措施</w:t>
            </w:r>
          </w:p>
          <w:p>
            <w:pPr>
              <w:spacing w:line="360" w:lineRule="auto"/>
              <w:ind w:firstLine="480" w:firstLineChars="200"/>
              <w:rPr>
                <w:rFonts w:hint="default"/>
              </w:rPr>
            </w:pPr>
            <w:r>
              <w:rPr>
                <w:rFonts w:hint="default"/>
              </w:rPr>
              <w:t>①地基开挖、建材露天堆放、粉状材料装卸等施工避开大风时段，并及时洒水降尘，保证扬尘源有足够的湿度。</w:t>
            </w:r>
          </w:p>
          <w:p>
            <w:pPr>
              <w:spacing w:line="360" w:lineRule="auto"/>
              <w:ind w:firstLine="480" w:firstLineChars="200"/>
              <w:rPr>
                <w:rFonts w:hint="default"/>
              </w:rPr>
            </w:pPr>
            <w:r>
              <w:rPr>
                <w:rFonts w:hint="default"/>
              </w:rPr>
              <w:t>②施工车辆必须清洗后方能出施工现场；对于装运含尘物料的运输车辆必须进行密封运输，严格控制和规范车辆运输量和方式，容易产生粉尘的物料不能够装得高过车辆两边和尾部的挡板，严格控制物料的撒落。</w:t>
            </w:r>
          </w:p>
          <w:p>
            <w:pPr>
              <w:spacing w:line="360" w:lineRule="auto"/>
              <w:ind w:firstLine="480" w:firstLineChars="200"/>
              <w:rPr>
                <w:rFonts w:hint="default"/>
              </w:rPr>
            </w:pPr>
            <w:r>
              <w:rPr>
                <w:rFonts w:hint="default"/>
              </w:rPr>
              <w:t>③限制施工区内运输车辆的速度，将卡车在施工场地的车速减少到10km/h，将其它区域控制在20km/h。</w:t>
            </w:r>
          </w:p>
          <w:p>
            <w:pPr>
              <w:spacing w:line="360" w:lineRule="auto"/>
              <w:ind w:firstLine="480" w:firstLineChars="200"/>
              <w:rPr>
                <w:rFonts w:hint="default"/>
              </w:rPr>
            </w:pPr>
            <w:r>
              <w:rPr>
                <w:rFonts w:hint="default"/>
              </w:rPr>
              <w:t>④水泥、灰土、砂等粉状材料堆存过程中注意堆料的保护，减少露天堆放、减少裸露地面、周围设围栏并加篷覆盖，并保证堆场表面和裸露地面一定的含水率，尤其是有风、干燥时节，洒水抑尘措施，每天洒水4～5次。</w:t>
            </w:r>
          </w:p>
          <w:p>
            <w:pPr>
              <w:spacing w:line="360" w:lineRule="auto"/>
              <w:ind w:firstLine="480" w:firstLineChars="200"/>
              <w:rPr>
                <w:rFonts w:hint="default"/>
              </w:rPr>
            </w:pPr>
            <w:r>
              <w:rPr>
                <w:rFonts w:hint="default"/>
              </w:rPr>
              <w:t>⑤合理安排工期，尽可能地加快施工速度，减少施工时间，并建议施工单位采取逐片施工方式，避免大面积地表长时间裸露产生的扬尘。</w:t>
            </w:r>
          </w:p>
          <w:p>
            <w:pPr>
              <w:suppressAutoHyphens/>
              <w:topLinePunct/>
              <w:spacing w:line="360" w:lineRule="auto"/>
              <w:ind w:firstLine="480" w:firstLineChars="200"/>
              <w:rPr>
                <w:rFonts w:hint="default"/>
              </w:rPr>
            </w:pPr>
            <w:r>
              <w:rPr>
                <w:rFonts w:hint="default"/>
              </w:rPr>
              <w:t>⑥采用密闭式运输车辆进行垃圾、废渣等运输；水泥等易于飞扬的细颗粒建筑材料应密闭存放或进行覆盖，混凝土应采用商品砼，</w:t>
            </w:r>
            <w:r>
              <w:rPr>
                <w:rFonts w:hint="default"/>
                <w:lang w:val="en-US" w:eastAsia="zh-CN"/>
              </w:rPr>
              <w:t>不在场内设置混凝土搅拌设备，</w:t>
            </w:r>
            <w:r>
              <w:rPr>
                <w:rFonts w:hint="default"/>
              </w:rPr>
              <w:t>并对施工场地定时洒水降尘。</w:t>
            </w:r>
          </w:p>
          <w:p>
            <w:pPr>
              <w:suppressAutoHyphens/>
              <w:topLinePunct/>
              <w:spacing w:line="360" w:lineRule="auto"/>
              <w:ind w:firstLine="480" w:firstLineChars="200"/>
              <w:rPr>
                <w:rFonts w:hint="default"/>
              </w:rPr>
            </w:pPr>
            <w:r>
              <w:rPr>
                <w:rFonts w:hint="default"/>
              </w:rPr>
              <w:t>⑦运输车辆的载重等应符合《道路管理条例》有关规定，防止超载，防止路面破损引起运输过程颠簸遗撒。运送土石方和建筑原料的车辆应实行密闭运输，装载的物料、渣土高度不得超过车辆槽帮上沿，车斗用苫布遮盖或者采用密闭车斗，若车斗用苫布遮盖，应当严实密闭，苫布边缘至少要遮住槽帮上沿以下15 公分，避免在运输过程中发生遗撒或泄漏，同时要求运输车辆应尽量避开人口密集的运输路段；若必须穿越此段路段时，应当天傍晚定时清扫地面，避免在干燥天气条件下装卸和运输等。</w:t>
            </w:r>
          </w:p>
          <w:p>
            <w:pPr>
              <w:suppressAutoHyphens/>
              <w:topLinePunct/>
              <w:spacing w:line="360" w:lineRule="auto"/>
              <w:ind w:firstLine="480" w:firstLineChars="200"/>
              <w:rPr>
                <w:rFonts w:hint="default"/>
              </w:rPr>
            </w:pPr>
            <w:r>
              <w:rPr>
                <w:rFonts w:hint="default"/>
              </w:rPr>
              <w:t>⑧建筑垃圾、工程渣土在48小时内不能完成清运的，在施工工地内设置临时堆放场，临时堆放场采取围档、覆盖、洒水等防尘措施。</w:t>
            </w:r>
          </w:p>
          <w:p>
            <w:pPr>
              <w:wordWrap/>
              <w:ind w:firstLine="480"/>
              <w:jc w:val="both"/>
            </w:pPr>
            <w:r>
              <w:rPr>
                <w:rFonts w:hint="default"/>
              </w:rPr>
              <w:t>采取如上防治措施后，施工单位在具体施工过程中扬尘对周围环境影响较小。</w:t>
            </w:r>
          </w:p>
          <w:p>
            <w:pPr>
              <w:pStyle w:val="9"/>
              <w:spacing w:before="192" w:after="192"/>
              <w:rPr>
                <w:lang w:val="en-US"/>
              </w:rPr>
            </w:pPr>
            <w:r>
              <w:rPr>
                <w:rFonts w:hint="eastAsia"/>
                <w:lang w:val="en-US"/>
              </w:rPr>
              <w:t>4.1.2施工废水防治措施</w:t>
            </w:r>
          </w:p>
          <w:p>
            <w:pPr>
              <w:wordWrap/>
              <w:ind w:firstLine="480"/>
              <w:jc w:val="both"/>
            </w:pPr>
            <w:r>
              <w:t>①本工程拟对施工废水采用自然沉降法进行处理，应在施工场地</w:t>
            </w:r>
            <w:r>
              <w:rPr>
                <w:rFonts w:hint="eastAsia"/>
                <w:lang w:eastAsia="zh-CN"/>
              </w:rPr>
              <w:t>四周</w:t>
            </w:r>
            <w:r>
              <w:t>开挖临时排水沟，在排水口处设置沉淀池，对建筑施工废水进行简易沉淀处理，并在排水口设置土工布，拦截大的块状物以及泥沙主要污染物SS去除率控制到80%，施工废水处理后洒水降尘，不得排放。</w:t>
            </w:r>
          </w:p>
          <w:p>
            <w:pPr>
              <w:wordWrap/>
              <w:ind w:firstLine="480"/>
              <w:jc w:val="both"/>
            </w:pPr>
            <w:r>
              <w:t>②要做好建筑材料和建设废料的管理，防止它们成为地面水的二次污染源，建议在料场周围设置排水沉淀沟。同时，尽量避免雨期进行施工建设，以减少冲刷形成的泥浆污水的产生。</w:t>
            </w:r>
          </w:p>
          <w:p>
            <w:pPr>
              <w:wordWrap/>
              <w:ind w:firstLine="480"/>
              <w:jc w:val="both"/>
            </w:pPr>
            <w:r>
              <w:t>③施工单位应严格执行《建设工程施工场地文明施工及环境管理暂行规定》，对废水产生处理进行组织设计。</w:t>
            </w:r>
          </w:p>
          <w:p>
            <w:pPr>
              <w:wordWrap/>
              <w:ind w:firstLine="480"/>
              <w:jc w:val="both"/>
            </w:pPr>
            <w:r>
              <w:t>经采取上述有效措施后，本项目施工期污水对周围水环境影响较小。</w:t>
            </w:r>
          </w:p>
          <w:p>
            <w:pPr>
              <w:pStyle w:val="9"/>
              <w:spacing w:before="192" w:after="192"/>
              <w:rPr>
                <w:lang w:val="en-US"/>
              </w:rPr>
            </w:pPr>
            <w:r>
              <w:rPr>
                <w:rFonts w:hint="eastAsia"/>
                <w:lang w:val="en-US"/>
              </w:rPr>
              <w:t>4.1.3施工噪声防治措施</w:t>
            </w:r>
          </w:p>
          <w:p>
            <w:pPr>
              <w:wordWrap/>
              <w:ind w:firstLine="480"/>
              <w:jc w:val="both"/>
              <w:rPr>
                <w:lang w:val="en-US"/>
              </w:rPr>
            </w:pPr>
            <w:r>
              <w:rPr>
                <w:rFonts w:hint="eastAsia"/>
                <w:lang w:val="en-US"/>
              </w:rPr>
              <w:t>（1）</w:t>
            </w:r>
            <w:r>
              <w:rPr>
                <w:lang w:val="en-US"/>
              </w:rPr>
              <w:t>施工单位必须选用符合国家有关标准的施工机具和运输车辆，尽量选用低噪声的施工机械和工艺，振动较大的固定机械设备应加装减振机座，固定强噪声源应考虑加装隔音罩（如发电车等），同时应加强各类施工设备的维护和保养，保持其良好的运转，以便从根本上降低噪声源强。</w:t>
            </w:r>
          </w:p>
          <w:p>
            <w:pPr>
              <w:wordWrap/>
              <w:ind w:firstLine="480"/>
              <w:jc w:val="both"/>
              <w:rPr>
                <w:lang w:val="en-US"/>
              </w:rPr>
            </w:pPr>
            <w:r>
              <w:rPr>
                <w:rFonts w:hint="eastAsia"/>
                <w:lang w:val="en-US"/>
              </w:rPr>
              <w:t>（2）</w:t>
            </w:r>
            <w:r>
              <w:rPr>
                <w:lang w:val="en-US"/>
              </w:rPr>
              <w:t>合理规划施工过程与高噪声设备的使用时间，</w:t>
            </w:r>
            <w:r>
              <w:rPr>
                <w:rFonts w:hint="eastAsia"/>
                <w:lang w:val="en-US" w:eastAsia="zh-CN"/>
              </w:rPr>
              <w:t>车辆运输应</w:t>
            </w:r>
            <w:r>
              <w:rPr>
                <w:lang w:val="en-US"/>
              </w:rPr>
              <w:t>避开居民休息时间</w:t>
            </w:r>
            <w:r>
              <w:rPr>
                <w:rFonts w:hint="eastAsia"/>
                <w:lang w:val="en-US" w:eastAsia="zh-CN"/>
              </w:rPr>
              <w:t>（6.00-12.00，2.30-10.00）</w:t>
            </w:r>
            <w:r>
              <w:rPr>
                <w:lang w:val="en-US"/>
              </w:rPr>
              <w:t>。</w:t>
            </w:r>
          </w:p>
          <w:p>
            <w:pPr>
              <w:wordWrap/>
              <w:ind w:firstLine="480"/>
              <w:jc w:val="both"/>
              <w:rPr>
                <w:lang w:val="en-US"/>
              </w:rPr>
            </w:pPr>
            <w:r>
              <w:rPr>
                <w:rFonts w:hint="eastAsia"/>
                <w:lang w:val="en-US"/>
              </w:rPr>
              <w:t>（3）</w:t>
            </w:r>
            <w:r>
              <w:rPr>
                <w:lang w:val="en-US"/>
              </w:rPr>
              <w:t>应实现施工场地封闭化、围挡标准化，减少对周围环境的污染和影响。</w:t>
            </w:r>
          </w:p>
          <w:p>
            <w:pPr>
              <w:wordWrap/>
              <w:ind w:firstLine="480"/>
              <w:jc w:val="both"/>
              <w:rPr>
                <w:lang w:val="en-US"/>
              </w:rPr>
            </w:pPr>
            <w:r>
              <w:rPr>
                <w:rFonts w:hint="eastAsia"/>
                <w:lang w:val="en-US"/>
              </w:rPr>
              <w:t>（4）</w:t>
            </w:r>
            <w:r>
              <w:rPr>
                <w:lang w:val="en-US"/>
              </w:rPr>
              <w:t>建设单位应责成施工单位在施工现场标明张布通告和投诉电话，建设单位在接到报案后应及时与当地环保部门取得联系，以便及时处理各种环境纠纷。</w:t>
            </w:r>
          </w:p>
          <w:p>
            <w:pPr>
              <w:wordWrap/>
              <w:ind w:firstLine="480"/>
              <w:jc w:val="both"/>
              <w:rPr>
                <w:lang w:val="en-US"/>
              </w:rPr>
            </w:pPr>
            <w:r>
              <w:rPr>
                <w:lang w:val="en-US"/>
              </w:rPr>
              <w:t>综上所述，项目施工噪声可得到有效的控制，能够满足《建筑施工场界环境噪声排放标准》（GB12523-2011）要求。</w:t>
            </w:r>
          </w:p>
          <w:p>
            <w:pPr>
              <w:pStyle w:val="9"/>
              <w:spacing w:before="192" w:after="192"/>
              <w:rPr>
                <w:lang w:val="en-US"/>
              </w:rPr>
            </w:pPr>
            <w:r>
              <w:rPr>
                <w:rFonts w:hint="eastAsia"/>
                <w:lang w:val="en-US"/>
              </w:rPr>
              <w:t>4.1.4固体废弃物防治措施</w:t>
            </w:r>
          </w:p>
          <w:p>
            <w:pPr>
              <w:spacing w:line="360" w:lineRule="auto"/>
              <w:ind w:firstLine="480" w:firstLineChars="200"/>
              <w:jc w:val="both"/>
              <w:rPr>
                <w:rFonts w:hint="default"/>
                <w:u w:val="single"/>
              </w:rPr>
            </w:pPr>
            <w:r>
              <w:rPr>
                <w:rFonts w:hint="eastAsia"/>
                <w:u w:val="single"/>
                <w:lang w:eastAsia="zh-CN"/>
              </w:rPr>
              <w:t>①</w:t>
            </w:r>
            <w:r>
              <w:rPr>
                <w:rFonts w:hint="default"/>
                <w:u w:val="single"/>
              </w:rPr>
              <w:t>为降低或减缓上述固体废物对环境的影响，首先应按计划和施工的操作规程，严格控制，尽量减少余下的物料。一旦有余下的材料，将其有序地存放好，妥善保管，可供其他项目建设使用，减轻建筑垃圾对环境的影响。对施工的建筑垃圾尽量做到回用，若不能回用，委托渣土公司外运处理。施工建筑垃圾不得随意堆放于项目用地红线外的区域。</w:t>
            </w:r>
          </w:p>
          <w:p>
            <w:pPr>
              <w:spacing w:line="360" w:lineRule="auto"/>
              <w:ind w:firstLine="480" w:firstLineChars="200"/>
              <w:jc w:val="both"/>
              <w:rPr>
                <w:rFonts w:hint="default"/>
                <w:u w:val="single"/>
              </w:rPr>
            </w:pPr>
            <w:r>
              <w:rPr>
                <w:rFonts w:hint="default"/>
                <w:u w:val="single"/>
              </w:rPr>
              <w:t>②废弃土石方对环境的影响</w:t>
            </w:r>
          </w:p>
          <w:p>
            <w:pPr>
              <w:spacing w:line="360" w:lineRule="auto"/>
              <w:ind w:firstLine="480" w:firstLineChars="200"/>
              <w:jc w:val="both"/>
              <w:rPr>
                <w:rFonts w:hint="default"/>
                <w:u w:val="single"/>
              </w:rPr>
            </w:pPr>
            <w:r>
              <w:rPr>
                <w:rFonts w:hint="default"/>
                <w:u w:val="single"/>
              </w:rPr>
              <w:t>本工程产生</w:t>
            </w:r>
            <w:r>
              <w:rPr>
                <w:rFonts w:hint="default"/>
                <w:u w:val="single"/>
                <w:lang w:val="en-US" w:eastAsia="zh-CN"/>
              </w:rPr>
              <w:t>1000</w:t>
            </w:r>
            <w:r>
              <w:rPr>
                <w:rFonts w:hint="eastAsia"/>
                <w:u w:val="single"/>
                <w:lang w:val="en-US" w:eastAsia="zh-CN"/>
              </w:rPr>
              <w:t>0</w:t>
            </w:r>
            <w:r>
              <w:rPr>
                <w:rFonts w:hint="default"/>
                <w:u w:val="single"/>
              </w:rPr>
              <w:t>m</w:t>
            </w:r>
            <w:r>
              <w:rPr>
                <w:rFonts w:hint="default"/>
                <w:u w:val="single"/>
                <w:vertAlign w:val="superscript"/>
              </w:rPr>
              <w:t>3</w:t>
            </w:r>
            <w:r>
              <w:rPr>
                <w:rFonts w:hint="default"/>
                <w:u w:val="single"/>
              </w:rPr>
              <w:t>的废弃土石方，应交由渣土管理部门运至指定地点消纳。</w:t>
            </w:r>
          </w:p>
          <w:p>
            <w:pPr>
              <w:spacing w:line="360" w:lineRule="auto"/>
              <w:ind w:firstLine="480" w:firstLineChars="200"/>
              <w:jc w:val="both"/>
              <w:rPr>
                <w:rFonts w:hint="default"/>
                <w:u w:val="single"/>
              </w:rPr>
            </w:pPr>
            <w:r>
              <w:rPr>
                <w:rFonts w:hint="default"/>
                <w:u w:val="single"/>
              </w:rPr>
              <w:t>③生活垃圾对环境的影响</w:t>
            </w:r>
          </w:p>
          <w:p>
            <w:pPr>
              <w:spacing w:line="360" w:lineRule="auto"/>
              <w:ind w:firstLine="480" w:firstLineChars="200"/>
              <w:jc w:val="both"/>
              <w:rPr>
                <w:rFonts w:hint="default"/>
                <w:u w:val="single"/>
              </w:rPr>
            </w:pPr>
            <w:r>
              <w:rPr>
                <w:rFonts w:hint="default"/>
                <w:u w:val="single"/>
              </w:rPr>
              <w:t>施工期间，各类施工人员较为集中，产生的生活垃圾总量为</w:t>
            </w:r>
            <w:r>
              <w:rPr>
                <w:rFonts w:hint="default"/>
                <w:u w:val="single"/>
                <w:lang w:val="en-US" w:eastAsia="zh-CN"/>
              </w:rPr>
              <w:t>1</w:t>
            </w:r>
            <w:r>
              <w:rPr>
                <w:rFonts w:hint="default"/>
                <w:u w:val="single"/>
              </w:rPr>
              <w:t>t。若不对这些垃圾采取处理措施，将会对周围环境造成一定影响，进而危害人类健康。因此，施工营地需设置生活垃圾收运设施（包括垃圾桶等），在施工区设置废料堆放点，实行专人负责清理生活垃圾，维护施工期间的环境卫生。</w:t>
            </w:r>
          </w:p>
          <w:p>
            <w:pPr>
              <w:wordWrap/>
              <w:ind w:firstLine="480"/>
              <w:jc w:val="both"/>
              <w:rPr>
                <w:rFonts w:hint="default"/>
                <w:u w:val="single"/>
              </w:rPr>
            </w:pPr>
            <w:r>
              <w:rPr>
                <w:rFonts w:hint="default"/>
                <w:u w:val="single"/>
              </w:rPr>
              <w:t>只要严格落实上述处理措施，施工中产生的固体废物不会对环境产生不良影响。</w:t>
            </w:r>
          </w:p>
          <w:p>
            <w:pPr>
              <w:pStyle w:val="9"/>
              <w:keepNext w:val="0"/>
              <w:keepLines w:val="0"/>
              <w:pageBreakBefore w:val="0"/>
              <w:widowControl w:val="0"/>
              <w:kinsoku/>
              <w:wordWrap w:val="0"/>
              <w:overflowPunct/>
              <w:topLinePunct w:val="0"/>
              <w:autoSpaceDE w:val="0"/>
              <w:autoSpaceDN w:val="0"/>
              <w:bidi w:val="0"/>
              <w:adjustRightInd/>
              <w:snapToGrid/>
              <w:spacing w:before="0" w:beforeLines="0" w:after="0" w:afterLines="0"/>
              <w:textAlignment w:val="auto"/>
              <w:rPr>
                <w:rFonts w:hint="eastAsia"/>
                <w:lang w:val="en-US" w:eastAsia="zh-CN"/>
              </w:rPr>
            </w:pPr>
            <w:r>
              <w:rPr>
                <w:rFonts w:hint="eastAsia"/>
                <w:lang w:val="en-US" w:eastAsia="zh-CN"/>
              </w:rPr>
              <w:t>4.15 生态保护措施</w:t>
            </w:r>
          </w:p>
          <w:p>
            <w:pPr>
              <w:rPr>
                <w:rFonts w:hint="eastAsia"/>
                <w:lang w:val="en-US" w:eastAsia="zh-CN"/>
              </w:rPr>
            </w:pPr>
            <w:r>
              <w:rPr>
                <w:rFonts w:hint="eastAsia"/>
                <w:lang w:val="en-US" w:eastAsia="zh-CN"/>
              </w:rPr>
              <w:t>项目占地范围内已无动植物存在，施工期注意避免对占地范围内造成的水土流失影响及对占地范围外的生态造成影响。</w:t>
            </w:r>
          </w:p>
          <w:p>
            <w:pPr>
              <w:pStyle w:val="12"/>
              <w:rPr>
                <w:rFonts w:hint="eastAsia"/>
                <w:sz w:val="24"/>
                <w:szCs w:val="24"/>
                <w:lang w:val="en-US" w:eastAsia="zh-CN"/>
              </w:rPr>
            </w:pPr>
            <w:r>
              <w:rPr>
                <w:rFonts w:hint="eastAsia"/>
                <w:lang w:val="en-US" w:eastAsia="zh-CN"/>
              </w:rPr>
              <w:t>①</w:t>
            </w:r>
            <w:r>
              <w:rPr>
                <w:rFonts w:hint="eastAsia"/>
                <w:sz w:val="24"/>
                <w:szCs w:val="24"/>
                <w:lang w:val="en-US" w:eastAsia="zh-CN"/>
              </w:rPr>
              <w:t>在本项目施工过程中，尽可能减少占地面积，减少对植被的破坏面积。具体措施为严格限定作业范围，不得超出项目占地范围。</w:t>
            </w:r>
          </w:p>
          <w:p>
            <w:pPr>
              <w:pStyle w:val="12"/>
              <w:rPr>
                <w:rFonts w:hint="eastAsia"/>
                <w:sz w:val="24"/>
                <w:szCs w:val="24"/>
                <w:lang w:val="en-US" w:eastAsia="zh-CN"/>
              </w:rPr>
            </w:pPr>
            <w:r>
              <w:rPr>
                <w:rFonts w:hint="eastAsia"/>
                <w:sz w:val="24"/>
                <w:szCs w:val="24"/>
                <w:lang w:val="en-US" w:eastAsia="zh-CN"/>
              </w:rPr>
              <w:t>②施工期各种材料、废料、临时土石方要进行遮盖和洒水处理，减少风蚀影响；施工时应按照环评建议修建排水沟及沉淀池，施工废水处理回用，防止外排对生态环境造成影响；施工中应尽量减少地表固结层的破坏，弃土、弃沙集中堆放，并进行碾压、固结表面，防治风蚀作用；工程基坑开挖后及时平填，尽量缩短施工时间，避免扰动土壤长时间裸露，减少水土流失。</w:t>
            </w:r>
          </w:p>
          <w:p>
            <w:pPr>
              <w:pStyle w:val="14"/>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113" w:rightChars="0" w:firstLine="480" w:firstLineChars="200"/>
              <w:textAlignment w:val="auto"/>
              <w:rPr>
                <w:rFonts w:hint="eastAsia"/>
                <w:sz w:val="24"/>
                <w:szCs w:val="24"/>
                <w:lang w:val="en-US" w:eastAsia="zh-CN"/>
              </w:rPr>
            </w:pPr>
            <w:r>
              <w:rPr>
                <w:rFonts w:hint="eastAsia"/>
                <w:sz w:val="24"/>
                <w:szCs w:val="24"/>
                <w:lang w:val="en-US" w:eastAsia="zh-CN"/>
              </w:rPr>
              <w:t>③施工完工后对恢复后的场地进行洒水，以固结地表，防止产生扬尘和对土壤的侵蚀。工程结束后要对厂区适宜绿化的地方(规划的绿化带）进行绿化，场地内播撒适合当地生长的草籽，提高土壤保水性等生态功能。</w:t>
            </w:r>
          </w:p>
          <w:p>
            <w:pPr>
              <w:pStyle w:val="12"/>
              <w:rPr>
                <w:rFonts w:hint="default"/>
                <w:sz w:val="24"/>
                <w:szCs w:val="24"/>
                <w:lang w:val="en-US" w:eastAsia="zh-CN"/>
              </w:rPr>
            </w:pPr>
            <w:r>
              <w:rPr>
                <w:rFonts w:hint="eastAsia"/>
                <w:sz w:val="24"/>
                <w:szCs w:val="24"/>
                <w:lang w:val="en-US" w:eastAsia="zh-CN"/>
              </w:rPr>
              <w:t>④尽可能避开雨季施工，以免雨水或施工用水浸基坑，做好降雨或渗水。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63" w:hRule="atLeast"/>
          <w:jc w:val="center"/>
        </w:trPr>
        <w:tc>
          <w:tcPr>
            <w:tcW w:w="406" w:type="dxa"/>
            <w:tcBorders>
              <w:top w:val="single" w:color="000000" w:sz="4" w:space="0"/>
              <w:right w:val="single" w:color="000000" w:sz="4" w:space="0"/>
            </w:tcBorders>
            <w:vAlign w:val="center"/>
          </w:tcPr>
          <w:p>
            <w:pPr>
              <w:pStyle w:val="39"/>
              <w:rPr>
                <w:sz w:val="32"/>
                <w:szCs w:val="32"/>
              </w:rPr>
            </w:pPr>
            <w:r>
              <w:rPr>
                <w:sz w:val="32"/>
                <w:szCs w:val="32"/>
              </w:rPr>
              <w:t>运营期环境影响和保护措施</w:t>
            </w:r>
          </w:p>
        </w:tc>
        <w:tc>
          <w:tcPr>
            <w:tcW w:w="8665" w:type="dxa"/>
            <w:tcBorders>
              <w:top w:val="single" w:color="000000" w:sz="4" w:space="0"/>
              <w:left w:val="single" w:color="000000" w:sz="4" w:space="0"/>
            </w:tcBorders>
          </w:tcPr>
          <w:p>
            <w:pPr>
              <w:pStyle w:val="8"/>
              <w:ind w:left="0" w:leftChars="0" w:firstLine="0" w:firstLineChars="0"/>
              <w:rPr>
                <w:rFonts w:hint="eastAsia" w:eastAsia="宋体"/>
                <w:b/>
                <w:bCs/>
                <w:lang w:val="en-US" w:eastAsia="zh-CN"/>
              </w:rPr>
            </w:pPr>
            <w:bookmarkStart w:id="39" w:name="_Toc8297"/>
            <w:bookmarkStart w:id="40" w:name="_Toc12235"/>
            <w:bookmarkStart w:id="41" w:name="_Toc8135"/>
            <w:r>
              <w:rPr>
                <w:rFonts w:hint="eastAsia"/>
                <w:b/>
                <w:bCs/>
                <w:lang w:val="en-US"/>
              </w:rPr>
              <w:t xml:space="preserve">4.2 </w:t>
            </w:r>
            <w:r>
              <w:rPr>
                <w:rFonts w:hint="eastAsia"/>
                <w:b/>
                <w:bCs/>
                <w:lang w:val="en-US" w:eastAsia="zh-CN"/>
              </w:rPr>
              <w:t>营运期环境影响和保护措施</w:t>
            </w:r>
          </w:p>
          <w:p>
            <w:pPr>
              <w:pStyle w:val="8"/>
              <w:ind w:left="0" w:leftChars="0" w:firstLine="0" w:firstLineChars="0"/>
              <w:rPr>
                <w:rFonts w:hint="eastAsia" w:eastAsia="宋体"/>
                <w:b/>
                <w:bCs/>
                <w:lang w:eastAsia="zh-CN"/>
              </w:rPr>
            </w:pPr>
            <w:r>
              <w:rPr>
                <w:rFonts w:hint="eastAsia"/>
                <w:b/>
                <w:bCs/>
                <w:lang w:val="en-US" w:eastAsia="zh-CN"/>
              </w:rPr>
              <w:t xml:space="preserve">4.2.1 </w:t>
            </w:r>
            <w:r>
              <w:rPr>
                <w:b/>
                <w:bCs/>
              </w:rPr>
              <w:t>大气</w:t>
            </w:r>
            <w:r>
              <w:rPr>
                <w:rFonts w:hint="eastAsia"/>
                <w:b/>
                <w:bCs/>
              </w:rPr>
              <w:t>环境</w:t>
            </w:r>
            <w:r>
              <w:rPr>
                <w:b/>
                <w:bCs/>
              </w:rPr>
              <w:t>影响分析</w:t>
            </w:r>
            <w:bookmarkEnd w:id="39"/>
            <w:bookmarkEnd w:id="40"/>
            <w:bookmarkEnd w:id="41"/>
            <w:r>
              <w:rPr>
                <w:rFonts w:hint="eastAsia"/>
                <w:b/>
                <w:bCs/>
                <w:lang w:eastAsia="zh-CN"/>
              </w:rPr>
              <w:t>及保护措施</w:t>
            </w:r>
          </w:p>
          <w:p>
            <w:pPr>
              <w:pStyle w:val="9"/>
              <w:spacing w:before="192" w:after="192"/>
              <w:rPr>
                <w:u w:val="single"/>
                <w:lang w:val="en-US"/>
              </w:rPr>
            </w:pPr>
            <w:r>
              <w:rPr>
                <w:rFonts w:hint="eastAsia"/>
                <w:lang w:val="en-US"/>
              </w:rPr>
              <w:t>4.2</w:t>
            </w:r>
            <w:r>
              <w:rPr>
                <w:lang w:val="en-US"/>
              </w:rPr>
              <w:t>.1</w:t>
            </w:r>
            <w:r>
              <w:rPr>
                <w:rFonts w:hint="eastAsia"/>
                <w:lang w:val="en-US" w:eastAsia="zh-CN"/>
              </w:rPr>
              <w:t xml:space="preserve">.1 </w:t>
            </w:r>
            <w:r>
              <w:rPr>
                <w:rFonts w:hint="eastAsia"/>
                <w:u w:val="single"/>
                <w:lang w:val="en-US" w:eastAsia="zh-CN"/>
              </w:rPr>
              <w:t>大气</w:t>
            </w:r>
            <w:r>
              <w:rPr>
                <w:rFonts w:hint="eastAsia"/>
                <w:u w:val="single"/>
                <w:lang w:val="en-US"/>
              </w:rPr>
              <w:t>污染源强分析</w:t>
            </w:r>
          </w:p>
          <w:p>
            <w:pPr>
              <w:ind w:firstLine="480"/>
              <w:jc w:val="both"/>
              <w:rPr>
                <w:rFonts w:cs="Times New Roman"/>
                <w:szCs w:val="24"/>
                <w:u w:val="single"/>
              </w:rPr>
            </w:pPr>
            <w:r>
              <w:rPr>
                <w:rFonts w:hint="default" w:ascii="Times New Roman" w:hAnsi="Times New Roman" w:eastAsia="宋体" w:cs="Times New Roman"/>
                <w:sz w:val="24"/>
                <w:szCs w:val="24"/>
                <w:u w:val="single"/>
              </w:rPr>
              <w:t>项目主要大气污染为垃圾卸料、压缩过程中产生的恶臭和粉尘</w:t>
            </w:r>
            <w:r>
              <w:rPr>
                <w:rFonts w:hint="default"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u w:val="single"/>
              </w:rPr>
              <w:t>渗滤液池的臭气及垃圾运输过程中产生的废气和汽车尾气。</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4"/>
                <w:szCs w:val="24"/>
                <w:u w:val="single"/>
              </w:rPr>
            </w:pPr>
            <w:r>
              <w:rPr>
                <w:rFonts w:cs="Times New Roman"/>
                <w:szCs w:val="24"/>
                <w:u w:val="single"/>
              </w:rPr>
              <w:t>（</w:t>
            </w:r>
            <w:r>
              <w:rPr>
                <w:rFonts w:cs="Times New Roman"/>
                <w:szCs w:val="24"/>
                <w:u w:val="single"/>
                <w:lang w:val="en-US"/>
              </w:rPr>
              <w:t>1</w:t>
            </w:r>
            <w:r>
              <w:rPr>
                <w:rFonts w:cs="Times New Roman"/>
                <w:szCs w:val="24"/>
                <w:u w:val="single"/>
              </w:rPr>
              <w:t>）</w:t>
            </w:r>
            <w:r>
              <w:rPr>
                <w:rFonts w:hint="default" w:ascii="Times New Roman" w:hAnsi="Times New Roman" w:eastAsia="宋体" w:cs="Times New Roman"/>
                <w:sz w:val="24"/>
                <w:szCs w:val="24"/>
                <w:u w:val="single"/>
              </w:rPr>
              <w:t>垃圾卸料、压缩过程中粉尘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垃圾收集车在垃圾卸料倒入垃圾压缩箱的过程中会有少量扬尘产生，</w:t>
            </w:r>
            <w:r>
              <w:rPr>
                <w:rFonts w:hint="default" w:ascii="Times New Roman" w:hAnsi="Times New Roman" w:cs="Times New Roman"/>
                <w:kern w:val="0"/>
                <w:sz w:val="24"/>
                <w:u w:val="single"/>
              </w:rPr>
              <w:t>参考《逸散性工业粉尘控制技术》、《工业污染核算》等书，并类比同类型行业数据</w:t>
            </w:r>
            <w:r>
              <w:rPr>
                <w:rFonts w:hint="default" w:ascii="Times New Roman" w:hAnsi="Times New Roman" w:eastAsia="宋体" w:cs="Times New Roman"/>
                <w:sz w:val="24"/>
                <w:szCs w:val="24"/>
                <w:u w:val="single"/>
              </w:rPr>
              <w:t>，垃圾在卸料</w:t>
            </w:r>
            <w:r>
              <w:rPr>
                <w:rFonts w:hint="eastAsia" w:cs="Times New Roman"/>
                <w:sz w:val="24"/>
                <w:szCs w:val="24"/>
                <w:u w:val="single"/>
                <w:lang w:eastAsia="zh-CN"/>
              </w:rPr>
              <w:t>及压缩</w:t>
            </w:r>
            <w:r>
              <w:rPr>
                <w:rFonts w:hint="default" w:ascii="Times New Roman" w:hAnsi="Times New Roman" w:eastAsia="宋体" w:cs="Times New Roman"/>
                <w:sz w:val="24"/>
                <w:szCs w:val="24"/>
                <w:u w:val="single"/>
              </w:rPr>
              <w:t>过程中粉尘的产生系数约为0.02kg/t</w:t>
            </w:r>
            <w:r>
              <w:rPr>
                <w:rFonts w:hint="default"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u w:val="single"/>
              </w:rPr>
              <w:t>每年365天计</w:t>
            </w:r>
            <w:r>
              <w:rPr>
                <w:rFonts w:hint="default" w:ascii="Times New Roman" w:hAnsi="Times New Roman" w:eastAsia="宋体" w:cs="Times New Roman"/>
                <w:sz w:val="24"/>
                <w:szCs w:val="24"/>
                <w:u w:val="single"/>
                <w:lang w:eastAsia="zh-CN"/>
              </w:rPr>
              <w:t>，</w:t>
            </w:r>
            <w:r>
              <w:rPr>
                <w:rFonts w:hint="eastAsia" w:cs="Times New Roman"/>
                <w:sz w:val="24"/>
                <w:szCs w:val="24"/>
                <w:u w:val="single"/>
                <w:lang w:eastAsia="zh-CN"/>
              </w:rPr>
              <w:t>压缩机工作效率为</w:t>
            </w:r>
            <w:r>
              <w:rPr>
                <w:rFonts w:hint="eastAsia" w:cs="Times New Roman"/>
                <w:sz w:val="24"/>
                <w:szCs w:val="24"/>
                <w:u w:val="single"/>
                <w:lang w:val="en-US" w:eastAsia="zh-CN"/>
              </w:rPr>
              <w:t>60t/h，则每台压缩机</w:t>
            </w:r>
            <w:r>
              <w:rPr>
                <w:rFonts w:hint="default" w:ascii="Times New Roman" w:hAnsi="Times New Roman" w:eastAsia="宋体" w:cs="Times New Roman"/>
                <w:sz w:val="24"/>
                <w:szCs w:val="24"/>
                <w:u w:val="single"/>
                <w:lang w:val="en-US" w:eastAsia="zh-CN"/>
              </w:rPr>
              <w:t>每天</w:t>
            </w:r>
            <w:r>
              <w:rPr>
                <w:rFonts w:hint="eastAsia" w:cs="Times New Roman"/>
                <w:sz w:val="24"/>
                <w:szCs w:val="24"/>
                <w:u w:val="single"/>
                <w:lang w:val="en-US" w:eastAsia="zh-CN"/>
              </w:rPr>
              <w:t>至少</w:t>
            </w:r>
            <w:r>
              <w:rPr>
                <w:rFonts w:hint="default" w:ascii="Times New Roman" w:hAnsi="Times New Roman" w:eastAsia="宋体" w:cs="Times New Roman"/>
                <w:sz w:val="24"/>
                <w:szCs w:val="24"/>
                <w:u w:val="single"/>
                <w:lang w:val="en-US" w:eastAsia="zh-CN"/>
              </w:rPr>
              <w:t>转运</w:t>
            </w:r>
            <w:r>
              <w:rPr>
                <w:rFonts w:hint="eastAsia" w:cs="Times New Roman"/>
                <w:sz w:val="24"/>
                <w:szCs w:val="24"/>
                <w:u w:val="single"/>
                <w:lang w:val="en-US" w:eastAsia="zh-CN"/>
              </w:rPr>
              <w:t>4</w:t>
            </w:r>
            <w:r>
              <w:rPr>
                <w:rFonts w:hint="default" w:ascii="Times New Roman" w:hAnsi="Times New Roman" w:eastAsia="宋体" w:cs="Times New Roman"/>
                <w:sz w:val="24"/>
                <w:szCs w:val="24"/>
                <w:u w:val="single"/>
                <w:lang w:val="en-US" w:eastAsia="zh-CN"/>
              </w:rPr>
              <w:t>h</w:t>
            </w:r>
            <w:r>
              <w:rPr>
                <w:rFonts w:hint="eastAsia" w:cs="Times New Roman"/>
                <w:sz w:val="24"/>
                <w:szCs w:val="24"/>
                <w:u w:val="single"/>
                <w:lang w:val="en-US" w:eastAsia="zh-CN"/>
              </w:rPr>
              <w:t>，</w:t>
            </w:r>
            <w:r>
              <w:rPr>
                <w:rFonts w:hint="default" w:ascii="Times New Roman" w:hAnsi="Times New Roman" w:eastAsia="宋体" w:cs="Times New Roman"/>
                <w:sz w:val="24"/>
                <w:szCs w:val="24"/>
                <w:u w:val="single"/>
              </w:rPr>
              <w:t>为更加彻底清除车间内</w:t>
            </w:r>
            <w:r>
              <w:rPr>
                <w:rFonts w:hint="eastAsia" w:ascii="Times New Roman" w:hAnsi="Times New Roman" w:eastAsia="宋体" w:cs="Times New Roman"/>
                <w:sz w:val="24"/>
                <w:szCs w:val="24"/>
                <w:u w:val="single"/>
                <w:lang w:eastAsia="zh-CN"/>
              </w:rPr>
              <w:t>粉尘</w:t>
            </w:r>
            <w:r>
              <w:rPr>
                <w:rFonts w:hint="default" w:ascii="Times New Roman" w:hAnsi="Times New Roman" w:eastAsia="宋体" w:cs="Times New Roman"/>
                <w:sz w:val="24"/>
                <w:szCs w:val="24"/>
                <w:u w:val="single"/>
              </w:rPr>
              <w:t>，风机及</w:t>
            </w:r>
            <w:r>
              <w:rPr>
                <w:rFonts w:hint="eastAsia" w:cs="Times New Roman"/>
                <w:sz w:val="24"/>
                <w:szCs w:val="24"/>
                <w:u w:val="single"/>
                <w:lang w:val="en-US" w:eastAsia="zh-CN"/>
              </w:rPr>
              <w:t>高效生物吸附塔</w:t>
            </w:r>
            <w:r>
              <w:rPr>
                <w:rFonts w:hint="default" w:ascii="Times New Roman" w:hAnsi="Times New Roman" w:eastAsia="宋体" w:cs="Times New Roman"/>
                <w:sz w:val="24"/>
                <w:szCs w:val="24"/>
                <w:u w:val="single"/>
              </w:rPr>
              <w:t>在垃圾清运后继续0.5h抽吸车间废气，即</w:t>
            </w:r>
            <w:r>
              <w:rPr>
                <w:rFonts w:hint="default" w:ascii="Times New Roman" w:hAnsi="Times New Roman" w:eastAsia="宋体" w:cs="Times New Roman"/>
                <w:sz w:val="24"/>
                <w:szCs w:val="24"/>
                <w:u w:val="single"/>
                <w:lang w:val="en-US" w:eastAsia="zh-CN"/>
              </w:rPr>
              <w:t>按</w:t>
            </w:r>
            <w:r>
              <w:rPr>
                <w:rFonts w:hint="eastAsia" w:cs="Times New Roman"/>
                <w:sz w:val="24"/>
                <w:szCs w:val="24"/>
                <w:u w:val="single"/>
                <w:lang w:val="en-US" w:eastAsia="zh-CN"/>
              </w:rPr>
              <w:t>4.5</w:t>
            </w:r>
            <w:r>
              <w:rPr>
                <w:rFonts w:hint="default" w:ascii="Times New Roman" w:hAnsi="Times New Roman" w:eastAsia="宋体" w:cs="Times New Roman"/>
                <w:sz w:val="24"/>
                <w:szCs w:val="24"/>
                <w:u w:val="single"/>
                <w:lang w:val="en-US" w:eastAsia="zh-CN"/>
              </w:rPr>
              <w:t>h计</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u w:val="single"/>
                <w:lang w:val="en-US" w:eastAsia="zh-CN"/>
              </w:rPr>
              <w:t>则粉尘产生量见下表</w:t>
            </w:r>
            <w:r>
              <w:rPr>
                <w:rFonts w:hint="eastAsia" w:cs="Times New Roman"/>
                <w:sz w:val="24"/>
                <w:szCs w:val="24"/>
                <w:u w:val="single"/>
                <w:lang w:val="en-US" w:eastAsia="zh-CN"/>
              </w:rPr>
              <w:t>4.2-1</w:t>
            </w:r>
            <w:r>
              <w:rPr>
                <w:rFonts w:hint="default" w:ascii="Times New Roman" w:hAnsi="Times New Roman" w:eastAsia="宋体" w:cs="Times New Roman"/>
                <w:sz w:val="24"/>
                <w:szCs w:val="24"/>
                <w:u w:val="single"/>
                <w:lang w:val="en-US" w:eastAsia="zh-CN"/>
              </w:rPr>
              <w:t>：</w:t>
            </w:r>
          </w:p>
          <w:p>
            <w:pPr>
              <w:pStyle w:val="2"/>
              <w:pageBreakBefore w:val="0"/>
              <w:kinsoku/>
              <w:overflowPunct/>
              <w:bidi w:val="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表</w:t>
            </w:r>
            <w:r>
              <w:rPr>
                <w:rFonts w:hint="eastAsia" w:ascii="Times New Roman" w:hAnsi="Times New Roman" w:cs="Times New Roman"/>
                <w:b/>
                <w:bCs/>
                <w:sz w:val="21"/>
                <w:szCs w:val="21"/>
                <w:u w:val="single"/>
                <w:lang w:val="en-US" w:eastAsia="zh-CN"/>
              </w:rPr>
              <w:t xml:space="preserve">4.2-1  </w:t>
            </w:r>
            <w:r>
              <w:rPr>
                <w:rFonts w:hint="default" w:ascii="Times New Roman" w:hAnsi="Times New Roman" w:eastAsia="宋体" w:cs="Times New Roman"/>
                <w:b/>
                <w:bCs/>
                <w:sz w:val="21"/>
                <w:szCs w:val="21"/>
                <w:u w:val="single"/>
                <w:lang w:val="en-US" w:eastAsia="zh-CN"/>
              </w:rPr>
              <w:t xml:space="preserve"> 污染源强产生量一览表</w:t>
            </w:r>
          </w:p>
          <w:tbl>
            <w:tblPr>
              <w:tblStyle w:val="32"/>
              <w:tblW w:w="48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3053"/>
              <w:gridCol w:w="2222"/>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97" w:type="pct"/>
                  <w:vMerge w:val="restart"/>
                  <w:noWrap w:val="0"/>
                  <w:vAlign w:val="center"/>
                </w:tcPr>
                <w:p>
                  <w:pPr>
                    <w:pStyle w:val="38"/>
                    <w:bidi w:val="0"/>
                    <w:rPr>
                      <w:rFonts w:hint="default" w:ascii="Times New Roman" w:hAnsi="Times New Roman" w:cs="Times New Roman"/>
                      <w:b/>
                      <w:bCs/>
                      <w:sz w:val="21"/>
                      <w:szCs w:val="21"/>
                      <w:u w:val="single"/>
                      <w:lang w:val="en-US" w:eastAsia="zh-CN"/>
                    </w:rPr>
                  </w:pPr>
                  <w:r>
                    <w:rPr>
                      <w:rFonts w:hint="default" w:ascii="Times New Roman" w:hAnsi="Times New Roman" w:cs="Times New Roman"/>
                      <w:b/>
                      <w:bCs/>
                      <w:sz w:val="21"/>
                      <w:szCs w:val="21"/>
                      <w:u w:val="single"/>
                      <w:lang w:val="en-US" w:eastAsia="zh-CN"/>
                    </w:rPr>
                    <w:t>序号</w:t>
                  </w:r>
                </w:p>
              </w:tc>
              <w:tc>
                <w:tcPr>
                  <w:tcW w:w="1830" w:type="pct"/>
                  <w:vMerge w:val="restart"/>
                  <w:noWrap w:val="0"/>
                  <w:vAlign w:val="center"/>
                </w:tcPr>
                <w:p>
                  <w:pPr>
                    <w:pStyle w:val="38"/>
                    <w:bidi w:val="0"/>
                    <w:rPr>
                      <w:rFonts w:hint="default" w:ascii="Times New Roman" w:hAnsi="Times New Roman" w:cs="Times New Roman"/>
                      <w:b/>
                      <w:bCs/>
                      <w:sz w:val="21"/>
                      <w:szCs w:val="21"/>
                      <w:u w:val="single"/>
                      <w:lang w:val="en-US" w:eastAsia="zh-CN"/>
                    </w:rPr>
                  </w:pPr>
                  <w:r>
                    <w:rPr>
                      <w:rFonts w:hint="default" w:ascii="Times New Roman" w:hAnsi="Times New Roman" w:cs="Times New Roman"/>
                      <w:b/>
                      <w:bCs/>
                      <w:sz w:val="21"/>
                      <w:szCs w:val="21"/>
                      <w:u w:val="single"/>
                      <w:lang w:val="en-US" w:eastAsia="zh-CN"/>
                    </w:rPr>
                    <w:t>转运量（t/</w:t>
                  </w:r>
                  <w:r>
                    <w:rPr>
                      <w:rFonts w:hint="eastAsia" w:cs="Times New Roman"/>
                      <w:b/>
                      <w:bCs/>
                      <w:sz w:val="21"/>
                      <w:szCs w:val="21"/>
                      <w:u w:val="single"/>
                      <w:lang w:val="en-US" w:eastAsia="zh-CN"/>
                    </w:rPr>
                    <w:t>d</w:t>
                  </w:r>
                  <w:r>
                    <w:rPr>
                      <w:rFonts w:hint="default" w:ascii="Times New Roman" w:hAnsi="Times New Roman" w:cs="Times New Roman"/>
                      <w:b/>
                      <w:bCs/>
                      <w:sz w:val="21"/>
                      <w:szCs w:val="21"/>
                      <w:u w:val="single"/>
                      <w:lang w:val="en-US" w:eastAsia="zh-CN"/>
                    </w:rPr>
                    <w:t>）</w:t>
                  </w:r>
                </w:p>
              </w:tc>
              <w:tc>
                <w:tcPr>
                  <w:tcW w:w="2472" w:type="pct"/>
                  <w:gridSpan w:val="2"/>
                  <w:noWrap w:val="0"/>
                  <w:vAlign w:val="center"/>
                </w:tcPr>
                <w:p>
                  <w:pPr>
                    <w:pStyle w:val="38"/>
                    <w:bidi w:val="0"/>
                    <w:rPr>
                      <w:rFonts w:hint="default" w:ascii="Times New Roman" w:hAnsi="Times New Roman" w:cs="Times New Roman"/>
                      <w:b/>
                      <w:bCs/>
                      <w:sz w:val="21"/>
                      <w:szCs w:val="21"/>
                      <w:u w:val="single"/>
                      <w:lang w:val="en-US" w:eastAsia="zh-CN"/>
                    </w:rPr>
                  </w:pPr>
                  <w:r>
                    <w:rPr>
                      <w:rFonts w:hint="default" w:ascii="Times New Roman" w:hAnsi="Times New Roman" w:cs="Times New Roman"/>
                      <w:b/>
                      <w:bCs/>
                      <w:sz w:val="21"/>
                      <w:szCs w:val="21"/>
                      <w:u w:val="single"/>
                      <w:lang w:val="en-US" w:eastAsia="zh-CN"/>
                    </w:rPr>
                    <w:t>粉尘产生量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697" w:type="pct"/>
                  <w:vMerge w:val="continue"/>
                  <w:noWrap w:val="0"/>
                  <w:vAlign w:val="center"/>
                </w:tcPr>
                <w:p>
                  <w:pPr>
                    <w:pStyle w:val="38"/>
                    <w:bidi w:val="0"/>
                    <w:rPr>
                      <w:rFonts w:hint="default" w:ascii="Times New Roman" w:hAnsi="Times New Roman" w:cs="Times New Roman"/>
                      <w:b/>
                      <w:bCs/>
                      <w:sz w:val="21"/>
                      <w:szCs w:val="21"/>
                      <w:u w:val="single"/>
                      <w:lang w:val="en-US" w:eastAsia="zh-CN"/>
                    </w:rPr>
                  </w:pPr>
                </w:p>
              </w:tc>
              <w:tc>
                <w:tcPr>
                  <w:tcW w:w="1830" w:type="pct"/>
                  <w:vMerge w:val="continue"/>
                  <w:noWrap w:val="0"/>
                  <w:vAlign w:val="center"/>
                </w:tcPr>
                <w:p>
                  <w:pPr>
                    <w:pStyle w:val="38"/>
                    <w:bidi w:val="0"/>
                    <w:rPr>
                      <w:rFonts w:hint="default" w:ascii="Times New Roman" w:hAnsi="Times New Roman" w:cs="Times New Roman"/>
                      <w:b/>
                      <w:bCs/>
                      <w:sz w:val="21"/>
                      <w:szCs w:val="21"/>
                      <w:u w:val="single"/>
                      <w:lang w:val="en-US" w:eastAsia="zh-CN"/>
                    </w:rPr>
                  </w:pPr>
                </w:p>
              </w:tc>
              <w:tc>
                <w:tcPr>
                  <w:tcW w:w="1332" w:type="pct"/>
                  <w:noWrap w:val="0"/>
                  <w:vAlign w:val="center"/>
                </w:tcPr>
                <w:p>
                  <w:pPr>
                    <w:pStyle w:val="38"/>
                    <w:bidi w:val="0"/>
                    <w:rPr>
                      <w:rFonts w:hint="default" w:ascii="Times New Roman" w:hAnsi="Times New Roman" w:cs="Times New Roman"/>
                      <w:b/>
                      <w:bCs/>
                      <w:sz w:val="21"/>
                      <w:szCs w:val="21"/>
                      <w:u w:val="single"/>
                      <w:lang w:val="en-US" w:eastAsia="zh-CN"/>
                    </w:rPr>
                  </w:pPr>
                  <w:r>
                    <w:rPr>
                      <w:rFonts w:hint="default" w:ascii="Times New Roman" w:hAnsi="Times New Roman" w:cs="Times New Roman"/>
                      <w:b/>
                      <w:bCs/>
                      <w:sz w:val="21"/>
                      <w:szCs w:val="21"/>
                      <w:u w:val="single"/>
                      <w:lang w:val="en-US" w:eastAsia="zh-CN"/>
                    </w:rPr>
                    <w:t>kg/d</w:t>
                  </w:r>
                </w:p>
              </w:tc>
              <w:tc>
                <w:tcPr>
                  <w:tcW w:w="1139" w:type="pct"/>
                  <w:noWrap w:val="0"/>
                  <w:vAlign w:val="center"/>
                </w:tcPr>
                <w:p>
                  <w:pPr>
                    <w:pStyle w:val="38"/>
                    <w:bidi w:val="0"/>
                    <w:rPr>
                      <w:rFonts w:hint="default" w:ascii="Times New Roman" w:hAnsi="Times New Roman" w:cs="Times New Roman"/>
                      <w:b/>
                      <w:bCs/>
                      <w:sz w:val="21"/>
                      <w:szCs w:val="21"/>
                      <w:u w:val="single"/>
                      <w:lang w:val="en-US" w:eastAsia="zh-CN"/>
                    </w:rPr>
                  </w:pPr>
                  <w:r>
                    <w:rPr>
                      <w:rFonts w:hint="default" w:ascii="Times New Roman" w:hAnsi="Times New Roman" w:cs="Times New Roman"/>
                      <w:b/>
                      <w:bCs/>
                      <w:sz w:val="21"/>
                      <w:szCs w:val="21"/>
                      <w:u w:val="single"/>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97" w:type="pct"/>
                  <w:noWrap w:val="0"/>
                  <w:vAlign w:val="center"/>
                </w:tcPr>
                <w:p>
                  <w:pPr>
                    <w:pStyle w:val="38"/>
                    <w:bidi w:val="0"/>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1</w:t>
                  </w:r>
                </w:p>
              </w:tc>
              <w:tc>
                <w:tcPr>
                  <w:tcW w:w="1830" w:type="pct"/>
                  <w:noWrap w:val="0"/>
                  <w:vAlign w:val="center"/>
                </w:tcPr>
                <w:p>
                  <w:pPr>
                    <w:pStyle w:val="38"/>
                    <w:bidi w:val="0"/>
                    <w:ind w:left="0" w:leftChars="0" w:right="0" w:rightChars="0" w:firstLine="0" w:firstLineChars="0"/>
                    <w:rPr>
                      <w:rFonts w:hint="default" w:ascii="Times New Roman" w:hAnsi="Times New Roman" w:eastAsia="宋体" w:cs="Times New Roman"/>
                      <w:sz w:val="21"/>
                      <w:szCs w:val="21"/>
                      <w:u w:val="single"/>
                      <w:lang w:val="en-US" w:eastAsia="zh-CN"/>
                    </w:rPr>
                  </w:pPr>
                  <w:r>
                    <w:rPr>
                      <w:rFonts w:hint="eastAsia"/>
                      <w:u w:val="single"/>
                      <w:lang w:val="en-US" w:eastAsia="zh-CN"/>
                    </w:rPr>
                    <w:t>400</w:t>
                  </w:r>
                </w:p>
              </w:tc>
              <w:tc>
                <w:tcPr>
                  <w:tcW w:w="1332"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vertAlign w:val="baseline"/>
                      <w:lang w:val="en-US" w:eastAsia="zh-CN"/>
                    </w:rPr>
                    <w:t>8</w:t>
                  </w:r>
                </w:p>
              </w:tc>
              <w:tc>
                <w:tcPr>
                  <w:tcW w:w="1139"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vertAlign w:val="baseline"/>
                      <w:lang w:val="en-US" w:eastAsia="zh-CN"/>
                    </w:rPr>
                    <w:t>2.92</w:t>
                  </w:r>
                </w:p>
              </w:tc>
            </w:tr>
          </w:tbl>
          <w:p>
            <w:pPr>
              <w:keepNext w:val="0"/>
              <w:keepLines w:val="0"/>
              <w:pageBreakBefore w:val="0"/>
              <w:widowControl w:val="0"/>
              <w:kinsoku/>
              <w:wordWrap/>
              <w:overflowPunct/>
              <w:topLinePunct w:val="0"/>
              <w:autoSpaceDE/>
              <w:autoSpaceDN/>
              <w:bidi w:val="0"/>
              <w:adjustRightInd/>
              <w:snapToGrid/>
              <w:spacing w:before="0" w:beforeLines="100" w:line="360" w:lineRule="auto"/>
              <w:ind w:firstLine="480" w:firstLineChars="200"/>
              <w:jc w:val="both"/>
              <w:textAlignment w:val="auto"/>
              <w:rPr>
                <w:rFonts w:hint="default" w:ascii="Times New Roman" w:hAnsi="Times New Roman" w:eastAsia="宋体" w:cs="Times New Roman"/>
                <w:sz w:val="24"/>
                <w:szCs w:val="24"/>
                <w:u w:val="single"/>
                <w:lang w:val="en-US" w:eastAsia="zh-CN"/>
              </w:rPr>
            </w:pPr>
            <w:r>
              <w:rPr>
                <w:rFonts w:hint="eastAsia" w:cs="Times New Roman"/>
                <w:sz w:val="24"/>
                <w:szCs w:val="24"/>
                <w:u w:val="single"/>
                <w:lang w:eastAsia="zh-CN"/>
              </w:rPr>
              <w:t>本项目</w:t>
            </w:r>
            <w:r>
              <w:rPr>
                <w:rFonts w:hint="default" w:ascii="Times New Roman" w:hAnsi="Times New Roman" w:eastAsia="宋体" w:cs="Times New Roman"/>
                <w:sz w:val="24"/>
                <w:szCs w:val="24"/>
                <w:u w:val="single"/>
              </w:rPr>
              <w:t>在垃圾</w:t>
            </w:r>
            <w:r>
              <w:rPr>
                <w:rFonts w:hint="eastAsia" w:cs="Times New Roman"/>
                <w:sz w:val="24"/>
                <w:szCs w:val="24"/>
                <w:u w:val="single"/>
                <w:lang w:eastAsia="zh-CN"/>
              </w:rPr>
              <w:t>卸料口设置一套喷雾降尘系统（主要成分为自来水，降尘效率为</w:t>
            </w:r>
            <w:r>
              <w:rPr>
                <w:rFonts w:hint="eastAsia"/>
                <w:u w:val="single"/>
                <w:lang w:val="en-US" w:eastAsia="zh-CN"/>
              </w:rPr>
              <w:t>50%</w:t>
            </w:r>
            <w:r>
              <w:rPr>
                <w:rFonts w:hint="eastAsia" w:cs="Times New Roman"/>
                <w:sz w:val="24"/>
                <w:szCs w:val="24"/>
                <w:u w:val="single"/>
                <w:lang w:eastAsia="zh-CN"/>
              </w:rPr>
              <w:t>），对卸料废气进行初步降尘，在</w:t>
            </w:r>
            <w:r>
              <w:rPr>
                <w:rFonts w:hint="default" w:ascii="Times New Roman" w:hAnsi="Times New Roman" w:eastAsia="宋体" w:cs="Times New Roman"/>
                <w:sz w:val="24"/>
                <w:szCs w:val="24"/>
                <w:u w:val="single"/>
              </w:rPr>
              <w:t>压缩作业点上部</w:t>
            </w:r>
            <w:r>
              <w:rPr>
                <w:rFonts w:hint="eastAsia" w:cs="Times New Roman"/>
                <w:sz w:val="24"/>
                <w:szCs w:val="24"/>
                <w:u w:val="single"/>
                <w:lang w:eastAsia="zh-CN"/>
              </w:rPr>
              <w:t>设置两套高效生物吸附塔，压缩产生的</w:t>
            </w:r>
            <w:r>
              <w:rPr>
                <w:rFonts w:hint="default" w:ascii="Times New Roman" w:hAnsi="Times New Roman" w:eastAsia="宋体" w:cs="Times New Roman"/>
                <w:sz w:val="24"/>
                <w:szCs w:val="24"/>
                <w:u w:val="single"/>
              </w:rPr>
              <w:t>粉尘、恶臭气体</w:t>
            </w:r>
            <w:r>
              <w:rPr>
                <w:rFonts w:hint="eastAsia" w:ascii="Times New Roman" w:hAnsi="Times New Roman" w:eastAsia="宋体" w:cs="Times New Roman"/>
                <w:sz w:val="24"/>
                <w:szCs w:val="24"/>
                <w:u w:val="single"/>
                <w:lang w:eastAsia="zh-CN"/>
              </w:rPr>
              <w:t>通过</w:t>
            </w:r>
            <w:r>
              <w:rPr>
                <w:rFonts w:hint="default" w:ascii="Times New Roman" w:hAnsi="Times New Roman" w:eastAsia="宋体" w:cs="Times New Roman"/>
                <w:sz w:val="24"/>
                <w:szCs w:val="24"/>
                <w:u w:val="single"/>
              </w:rPr>
              <w:t>吸气罩进行收集</w:t>
            </w:r>
            <w:r>
              <w:rPr>
                <w:rFonts w:hint="eastAsia" w:cs="Times New Roman"/>
                <w:sz w:val="24"/>
                <w:szCs w:val="24"/>
                <w:u w:val="single"/>
                <w:lang w:eastAsia="zh-CN"/>
              </w:rPr>
              <w:t>（</w:t>
            </w:r>
            <w:r>
              <w:rPr>
                <w:rFonts w:hint="default" w:ascii="Times New Roman" w:hAnsi="Times New Roman" w:eastAsia="宋体" w:cs="Times New Roman"/>
                <w:sz w:val="24"/>
                <w:szCs w:val="24"/>
                <w:u w:val="single"/>
              </w:rPr>
              <w:t>项目集气罩集气效率以90%计</w:t>
            </w:r>
            <w:r>
              <w:rPr>
                <w:rFonts w:hint="eastAsia" w:cs="Times New Roman"/>
                <w:sz w:val="24"/>
                <w:szCs w:val="24"/>
                <w:u w:val="single"/>
                <w:lang w:eastAsia="zh-CN"/>
              </w:rPr>
              <w:t>）</w:t>
            </w:r>
            <w:r>
              <w:rPr>
                <w:rFonts w:hint="default" w:ascii="Times New Roman" w:hAnsi="Times New Roman" w:eastAsia="宋体" w:cs="Times New Roman"/>
                <w:sz w:val="24"/>
                <w:szCs w:val="24"/>
                <w:u w:val="single"/>
              </w:rPr>
              <w:t>，经</w:t>
            </w:r>
            <w:r>
              <w:rPr>
                <w:rFonts w:hint="eastAsia" w:cs="Times New Roman"/>
                <w:sz w:val="24"/>
                <w:szCs w:val="24"/>
                <w:u w:val="single"/>
                <w:lang w:eastAsia="zh-CN"/>
              </w:rPr>
              <w:t>高效生物吸附塔</w:t>
            </w:r>
            <w:r>
              <w:rPr>
                <w:rFonts w:hint="default" w:ascii="Times New Roman" w:hAnsi="Times New Roman" w:eastAsia="宋体" w:cs="Times New Roman"/>
                <w:sz w:val="24"/>
                <w:szCs w:val="24"/>
                <w:u w:val="single"/>
              </w:rPr>
              <w:t>处理后通过</w:t>
            </w:r>
            <w:r>
              <w:rPr>
                <w:rFonts w:hint="eastAsia" w:cs="Times New Roman"/>
                <w:sz w:val="24"/>
                <w:szCs w:val="24"/>
                <w:u w:val="single"/>
                <w:lang w:val="en-US" w:eastAsia="zh-CN"/>
              </w:rPr>
              <w:t>1根</w:t>
            </w:r>
            <w:r>
              <w:rPr>
                <w:rFonts w:hint="default" w:ascii="Times New Roman" w:hAnsi="Times New Roman" w:eastAsia="宋体" w:cs="Times New Roman"/>
                <w:sz w:val="24"/>
                <w:szCs w:val="24"/>
                <w:u w:val="single"/>
              </w:rPr>
              <w:t>15m高排气简排放</w:t>
            </w:r>
            <w:r>
              <w:rPr>
                <w:rFonts w:hint="eastAsia" w:cs="Times New Roman"/>
                <w:sz w:val="24"/>
                <w:szCs w:val="24"/>
                <w:u w:val="single"/>
                <w:lang w:eastAsia="zh-CN"/>
              </w:rPr>
              <w:t>（参考普遍使用的</w:t>
            </w:r>
            <w:r>
              <w:rPr>
                <w:rFonts w:hint="eastAsia" w:cs="Times New Roman"/>
                <w:sz w:val="24"/>
                <w:szCs w:val="24"/>
                <w:u w:val="single"/>
                <w:lang w:val="en-US" w:eastAsia="zh-CN"/>
              </w:rPr>
              <w:t>高效生物吸附塔</w:t>
            </w:r>
            <w:r>
              <w:rPr>
                <w:rFonts w:hint="default" w:ascii="Times New Roman" w:hAnsi="Times New Roman" w:eastAsia="宋体" w:cs="Times New Roman"/>
                <w:sz w:val="24"/>
                <w:szCs w:val="24"/>
                <w:u w:val="single"/>
                <w:lang w:val="en-US" w:eastAsia="zh-CN"/>
              </w:rPr>
              <w:t>处理效率</w:t>
            </w:r>
            <w:r>
              <w:rPr>
                <w:rFonts w:hint="eastAsia" w:cs="Times New Roman"/>
                <w:sz w:val="24"/>
                <w:szCs w:val="24"/>
                <w:u w:val="single"/>
                <w:lang w:val="en-US" w:eastAsia="zh-CN"/>
              </w:rPr>
              <w:t>，</w:t>
            </w:r>
            <w:r>
              <w:rPr>
                <w:rFonts w:hint="default" w:ascii="Times New Roman" w:hAnsi="Times New Roman" w:eastAsia="宋体" w:cs="Times New Roman"/>
                <w:sz w:val="24"/>
                <w:szCs w:val="24"/>
                <w:u w:val="single"/>
              </w:rPr>
              <w:t>以9</w:t>
            </w:r>
            <w:r>
              <w:rPr>
                <w:rFonts w:hint="default" w:ascii="Times New Roman" w:hAnsi="Times New Roman" w:eastAsia="宋体" w:cs="Times New Roman"/>
                <w:sz w:val="24"/>
                <w:szCs w:val="24"/>
                <w:u w:val="single"/>
                <w:lang w:val="en-US" w:eastAsia="zh-CN"/>
              </w:rPr>
              <w:t>5</w:t>
            </w:r>
            <w:r>
              <w:rPr>
                <w:rFonts w:hint="default" w:ascii="Times New Roman" w:hAnsi="Times New Roman" w:eastAsia="宋体" w:cs="Times New Roman"/>
                <w:sz w:val="24"/>
                <w:szCs w:val="24"/>
                <w:u w:val="single"/>
              </w:rPr>
              <w:t>%计</w:t>
            </w:r>
            <w:r>
              <w:rPr>
                <w:rFonts w:hint="eastAsia" w:cs="Times New Roman"/>
                <w:sz w:val="24"/>
                <w:szCs w:val="24"/>
                <w:u w:val="single"/>
                <w:lang w:eastAsia="zh-CN"/>
              </w:rPr>
              <w:t>），</w:t>
            </w:r>
            <w:r>
              <w:rPr>
                <w:rFonts w:hint="default" w:ascii="Times New Roman" w:hAnsi="Times New Roman" w:eastAsia="宋体" w:cs="Times New Roman"/>
                <w:sz w:val="24"/>
                <w:szCs w:val="24"/>
                <w:u w:val="single"/>
                <w:lang w:val="en-US" w:eastAsia="zh-CN"/>
              </w:rPr>
              <w:t>风机量为</w:t>
            </w:r>
            <w:r>
              <w:rPr>
                <w:rFonts w:hint="eastAsia" w:cs="Times New Roman"/>
                <w:sz w:val="24"/>
                <w:szCs w:val="24"/>
                <w:u w:val="single"/>
                <w:lang w:val="en-US" w:eastAsia="zh-CN"/>
              </w:rPr>
              <w:t>60000</w:t>
            </w:r>
            <w:r>
              <w:rPr>
                <w:rFonts w:hint="default" w:ascii="Times New Roman" w:hAnsi="Times New Roman" w:cs="Times New Roman"/>
                <w:szCs w:val="21"/>
                <w:u w:val="single"/>
              </w:rPr>
              <w:t>m³</w:t>
            </w:r>
            <w:r>
              <w:rPr>
                <w:rFonts w:hint="default" w:ascii="Times New Roman" w:hAnsi="Times New Roman" w:cs="Times New Roman"/>
                <w:szCs w:val="21"/>
                <w:u w:val="single"/>
                <w:lang w:val="en-US" w:eastAsia="zh-CN"/>
              </w:rPr>
              <w:t>/h</w:t>
            </w:r>
            <w:r>
              <w:rPr>
                <w:rFonts w:hint="eastAsia" w:cs="Times New Roman"/>
                <w:sz w:val="24"/>
                <w:szCs w:val="24"/>
                <w:u w:val="single"/>
                <w:lang w:eastAsia="zh-CN"/>
              </w:rPr>
              <w:t>，针对剩余的无组织废气，压装车间及卸料大厅设置一套空间异味喷淋除臭系统（主要喷淋植物液，除尘除臭效率为</w:t>
            </w:r>
            <w:r>
              <w:rPr>
                <w:rFonts w:hint="eastAsia"/>
                <w:u w:val="single"/>
                <w:lang w:val="en-US" w:eastAsia="zh-CN"/>
              </w:rPr>
              <w:t>50%</w:t>
            </w:r>
            <w:r>
              <w:rPr>
                <w:rFonts w:hint="eastAsia" w:cs="Times New Roman"/>
                <w:sz w:val="24"/>
                <w:szCs w:val="24"/>
                <w:u w:val="single"/>
                <w:lang w:eastAsia="zh-CN"/>
              </w:rPr>
              <w:t>），共</w:t>
            </w:r>
            <w:r>
              <w:rPr>
                <w:rFonts w:hint="eastAsia" w:cs="Times New Roman"/>
                <w:sz w:val="24"/>
                <w:szCs w:val="24"/>
                <w:u w:val="single"/>
                <w:lang w:val="en-US" w:eastAsia="zh-CN"/>
              </w:rPr>
              <w:t>200个喷嘴</w:t>
            </w:r>
            <w:r>
              <w:rPr>
                <w:rFonts w:hint="eastAsia" w:cs="Times New Roman"/>
                <w:sz w:val="24"/>
                <w:szCs w:val="24"/>
                <w:u w:val="single"/>
                <w:lang w:eastAsia="zh-CN"/>
              </w:rPr>
              <w:t>。</w:t>
            </w:r>
            <w:r>
              <w:rPr>
                <w:rFonts w:hint="default" w:ascii="Times New Roman" w:hAnsi="Times New Roman" w:eastAsia="宋体" w:cs="Times New Roman"/>
                <w:sz w:val="24"/>
                <w:szCs w:val="24"/>
                <w:u w:val="single"/>
                <w:lang w:val="en-US" w:eastAsia="zh-CN"/>
              </w:rPr>
              <w:t>具体产排情况交下表所示：</w:t>
            </w:r>
          </w:p>
          <w:p>
            <w:pPr>
              <w:pageBreakBefore w:val="0"/>
              <w:kinsoku/>
              <w:overflowPunct/>
              <w:bidi w:val="0"/>
              <w:ind w:firstLine="422"/>
              <w:jc w:val="center"/>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表</w:t>
            </w:r>
            <w:r>
              <w:rPr>
                <w:rFonts w:hint="eastAsia" w:cs="Times New Roman"/>
                <w:b/>
                <w:bCs/>
                <w:sz w:val="21"/>
                <w:szCs w:val="21"/>
                <w:u w:val="single"/>
                <w:lang w:val="en-US" w:eastAsia="zh-CN"/>
              </w:rPr>
              <w:t xml:space="preserve">4.2-2   </w:t>
            </w:r>
            <w:r>
              <w:rPr>
                <w:rFonts w:hint="default" w:ascii="Times New Roman" w:hAnsi="Times New Roman" w:cs="Times New Roman"/>
                <w:b/>
                <w:bCs/>
                <w:sz w:val="21"/>
                <w:szCs w:val="21"/>
                <w:u w:val="single"/>
              </w:rPr>
              <w:t xml:space="preserve"> </w:t>
            </w:r>
            <w:r>
              <w:rPr>
                <w:rFonts w:hint="default" w:ascii="Times New Roman" w:hAnsi="Times New Roman" w:cs="Times New Roman"/>
                <w:b/>
                <w:bCs/>
                <w:sz w:val="21"/>
                <w:szCs w:val="21"/>
                <w:u w:val="single"/>
                <w:lang w:val="en-US" w:eastAsia="zh-CN"/>
              </w:rPr>
              <w:t>卸料、压缩</w:t>
            </w:r>
            <w:r>
              <w:rPr>
                <w:rFonts w:hint="default" w:ascii="Times New Roman" w:hAnsi="Times New Roman" w:cs="Times New Roman"/>
                <w:b/>
                <w:bCs/>
                <w:sz w:val="21"/>
                <w:szCs w:val="21"/>
                <w:u w:val="single"/>
              </w:rPr>
              <w:t>粉尘产生情况一览表</w:t>
            </w:r>
          </w:p>
          <w:tbl>
            <w:tblPr>
              <w:tblStyle w:val="31"/>
              <w:tblW w:w="871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64"/>
              <w:gridCol w:w="1677"/>
              <w:gridCol w:w="1514"/>
              <w:gridCol w:w="1204"/>
              <w:gridCol w:w="1704"/>
              <w:gridCol w:w="17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228" w:type="pct"/>
                  <w:gridSpan w:val="2"/>
                  <w:noWrap w:val="0"/>
                  <w:vAlign w:val="center"/>
                </w:tcPr>
                <w:p>
                  <w:pPr>
                    <w:pStyle w:val="38"/>
                    <w:bidi w:val="0"/>
                    <w:rPr>
                      <w:rFonts w:hint="default" w:ascii="Times New Roman" w:hAnsi="Times New Roman" w:eastAsia="宋体" w:cs="Times New Roman"/>
                      <w:b/>
                      <w:bCs/>
                      <w:i w:val="0"/>
                      <w:iCs w:val="0"/>
                      <w:sz w:val="21"/>
                      <w:szCs w:val="21"/>
                      <w:u w:val="single"/>
                      <w:lang w:eastAsia="zh-CN"/>
                    </w:rPr>
                  </w:pPr>
                  <w:r>
                    <w:rPr>
                      <w:rFonts w:hint="default" w:ascii="Times New Roman" w:hAnsi="Times New Roman" w:cs="Times New Roman"/>
                      <w:b/>
                      <w:bCs/>
                      <w:i w:val="0"/>
                      <w:iCs w:val="0"/>
                      <w:sz w:val="21"/>
                      <w:szCs w:val="21"/>
                      <w:u w:val="single"/>
                      <w:lang w:val="en-US" w:eastAsia="zh-CN"/>
                    </w:rPr>
                    <w:t>污染物</w:t>
                  </w:r>
                </w:p>
              </w:tc>
              <w:tc>
                <w:tcPr>
                  <w:tcW w:w="868" w:type="pct"/>
                  <w:noWrap w:val="0"/>
                  <w:vAlign w:val="center"/>
                </w:tcPr>
                <w:p>
                  <w:pPr>
                    <w:pStyle w:val="38"/>
                    <w:bidi w:val="0"/>
                    <w:rPr>
                      <w:rFonts w:hint="eastAsia" w:ascii="Times New Roman" w:hAnsi="Times New Roman" w:eastAsia="宋体" w:cs="Times New Roman"/>
                      <w:b/>
                      <w:bCs/>
                      <w:i w:val="0"/>
                      <w:iCs w:val="0"/>
                      <w:sz w:val="21"/>
                      <w:szCs w:val="21"/>
                      <w:u w:val="single"/>
                      <w:lang w:eastAsia="zh-CN"/>
                    </w:rPr>
                  </w:pPr>
                  <w:r>
                    <w:rPr>
                      <w:rFonts w:hint="eastAsia" w:cs="Times New Roman"/>
                      <w:b/>
                      <w:bCs/>
                      <w:i w:val="0"/>
                      <w:iCs w:val="0"/>
                      <w:sz w:val="21"/>
                      <w:szCs w:val="21"/>
                      <w:u w:val="single"/>
                      <w:lang w:eastAsia="zh-CN"/>
                    </w:rPr>
                    <w:t>排放口编号</w:t>
                  </w:r>
                </w:p>
              </w:tc>
              <w:tc>
                <w:tcPr>
                  <w:tcW w:w="690" w:type="pct"/>
                  <w:noWrap w:val="0"/>
                  <w:vAlign w:val="center"/>
                </w:tcPr>
                <w:p>
                  <w:pPr>
                    <w:pStyle w:val="38"/>
                    <w:bidi w:val="0"/>
                    <w:rPr>
                      <w:rFonts w:hint="default" w:ascii="Times New Roman" w:hAnsi="Times New Roman" w:cs="Times New Roman"/>
                      <w:b/>
                      <w:bCs/>
                      <w:i w:val="0"/>
                      <w:iCs w:val="0"/>
                      <w:sz w:val="21"/>
                      <w:szCs w:val="21"/>
                      <w:u w:val="single"/>
                    </w:rPr>
                  </w:pPr>
                  <w:r>
                    <w:rPr>
                      <w:rFonts w:hint="default" w:ascii="Times New Roman" w:hAnsi="Times New Roman" w:cs="Times New Roman"/>
                      <w:b/>
                      <w:bCs/>
                      <w:i w:val="0"/>
                      <w:iCs w:val="0"/>
                      <w:sz w:val="21"/>
                      <w:szCs w:val="21"/>
                      <w:u w:val="single"/>
                    </w:rPr>
                    <w:t>产生量</w:t>
                  </w:r>
                </w:p>
              </w:tc>
              <w:tc>
                <w:tcPr>
                  <w:tcW w:w="977" w:type="pct"/>
                  <w:noWrap w:val="0"/>
                  <w:vAlign w:val="center"/>
                </w:tcPr>
                <w:p>
                  <w:pPr>
                    <w:pStyle w:val="38"/>
                    <w:bidi w:val="0"/>
                    <w:rPr>
                      <w:rFonts w:hint="default" w:ascii="Times New Roman" w:hAnsi="Times New Roman" w:cs="Times New Roman"/>
                      <w:b/>
                      <w:bCs/>
                      <w:i w:val="0"/>
                      <w:iCs w:val="0"/>
                      <w:sz w:val="21"/>
                      <w:szCs w:val="21"/>
                      <w:u w:val="single"/>
                    </w:rPr>
                  </w:pPr>
                  <w:r>
                    <w:rPr>
                      <w:rFonts w:hint="default" w:ascii="Times New Roman" w:hAnsi="Times New Roman" w:cs="Times New Roman"/>
                      <w:b/>
                      <w:bCs/>
                      <w:i w:val="0"/>
                      <w:iCs w:val="0"/>
                      <w:sz w:val="21"/>
                      <w:szCs w:val="21"/>
                      <w:u w:val="single"/>
                    </w:rPr>
                    <w:t>产生速率</w:t>
                  </w:r>
                </w:p>
              </w:tc>
              <w:tc>
                <w:tcPr>
                  <w:tcW w:w="983" w:type="pct"/>
                  <w:noWrap w:val="0"/>
                  <w:vAlign w:val="center"/>
                </w:tcPr>
                <w:p>
                  <w:pPr>
                    <w:pStyle w:val="38"/>
                    <w:bidi w:val="0"/>
                    <w:rPr>
                      <w:rFonts w:hint="default" w:ascii="Times New Roman" w:hAnsi="Times New Roman" w:cs="Times New Roman"/>
                      <w:b/>
                      <w:bCs/>
                      <w:i w:val="0"/>
                      <w:iCs w:val="0"/>
                      <w:sz w:val="21"/>
                      <w:szCs w:val="21"/>
                      <w:u w:val="single"/>
                    </w:rPr>
                  </w:pPr>
                  <w:r>
                    <w:rPr>
                      <w:rFonts w:hint="default" w:ascii="Times New Roman" w:hAnsi="Times New Roman" w:cs="Times New Roman"/>
                      <w:b/>
                      <w:bCs/>
                      <w:i w:val="0"/>
                      <w:iCs w:val="0"/>
                      <w:sz w:val="21"/>
                      <w:szCs w:val="21"/>
                      <w:u w:val="single"/>
                    </w:rPr>
                    <w:t>产生浓度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266" w:type="pct"/>
                  <w:vMerge w:val="restart"/>
                  <w:noWrap w:val="0"/>
                  <w:vAlign w:val="center"/>
                </w:tcPr>
                <w:p>
                  <w:pPr>
                    <w:pStyle w:val="38"/>
                    <w:bidi w:val="0"/>
                    <w:rPr>
                      <w:rFonts w:hint="default" w:ascii="Times New Roman" w:hAnsi="Times New Roman" w:eastAsia="宋体" w:cs="Times New Roman"/>
                      <w:sz w:val="21"/>
                      <w:szCs w:val="21"/>
                      <w:u w:val="single"/>
                      <w:lang w:val="en-US" w:eastAsia="zh-CN"/>
                    </w:rPr>
                  </w:pPr>
                  <w:r>
                    <w:rPr>
                      <w:rFonts w:hint="eastAsia"/>
                      <w:u w:val="single"/>
                      <w:lang w:val="en-US" w:eastAsia="zh-CN"/>
                    </w:rPr>
                    <w:t>颗粒物</w:t>
                  </w:r>
                </w:p>
              </w:tc>
              <w:tc>
                <w:tcPr>
                  <w:tcW w:w="962"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rPr>
                  </w:pPr>
                  <w:r>
                    <w:rPr>
                      <w:rFonts w:hint="default" w:ascii="Times New Roman" w:hAnsi="Times New Roman" w:cs="Times New Roman"/>
                      <w:sz w:val="21"/>
                      <w:szCs w:val="21"/>
                      <w:u w:val="single"/>
                    </w:rPr>
                    <w:t>收集（90%）</w:t>
                  </w:r>
                </w:p>
              </w:tc>
              <w:tc>
                <w:tcPr>
                  <w:tcW w:w="868" w:type="pct"/>
                  <w:noWrap w:val="0"/>
                  <w:vAlign w:val="center"/>
                </w:tcPr>
                <w:p>
                  <w:pPr>
                    <w:pStyle w:val="38"/>
                    <w:bidi w:val="0"/>
                    <w:ind w:left="0" w:leftChars="0" w:right="0" w:rightChars="0" w:firstLine="0" w:firstLineChars="0"/>
                    <w:rPr>
                      <w:rFonts w:hint="default" w:cs="Times New Roman"/>
                      <w:sz w:val="21"/>
                      <w:szCs w:val="21"/>
                      <w:u w:val="single"/>
                      <w:lang w:val="en-US" w:eastAsia="zh-CN"/>
                    </w:rPr>
                  </w:pPr>
                  <w:r>
                    <w:rPr>
                      <w:rFonts w:hint="eastAsia" w:cs="Times New Roman"/>
                      <w:sz w:val="21"/>
                      <w:szCs w:val="21"/>
                      <w:u w:val="single"/>
                      <w:lang w:val="en-US" w:eastAsia="zh-CN"/>
                    </w:rPr>
                    <w:t>DA001</w:t>
                  </w:r>
                </w:p>
              </w:tc>
              <w:tc>
                <w:tcPr>
                  <w:tcW w:w="690"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rPr>
                  </w:pPr>
                  <w:r>
                    <w:rPr>
                      <w:rFonts w:hint="eastAsia" w:cs="Times New Roman"/>
                      <w:sz w:val="21"/>
                      <w:szCs w:val="21"/>
                      <w:u w:val="single"/>
                      <w:lang w:val="en-US" w:eastAsia="zh-CN"/>
                    </w:rPr>
                    <w:t>1314</w:t>
                  </w:r>
                  <w:r>
                    <w:rPr>
                      <w:rFonts w:hint="default" w:ascii="Times New Roman" w:hAnsi="Times New Roman" w:cs="Times New Roman"/>
                      <w:sz w:val="21"/>
                      <w:szCs w:val="21"/>
                      <w:u w:val="single"/>
                    </w:rPr>
                    <w:t>kg/a</w:t>
                  </w:r>
                </w:p>
              </w:tc>
              <w:tc>
                <w:tcPr>
                  <w:tcW w:w="977"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rPr>
                  </w:pPr>
                  <w:r>
                    <w:rPr>
                      <w:rFonts w:hint="eastAsia" w:cs="Times New Roman"/>
                      <w:sz w:val="21"/>
                      <w:szCs w:val="21"/>
                      <w:u w:val="single"/>
                      <w:lang w:val="en-US" w:eastAsia="zh-CN"/>
                    </w:rPr>
                    <w:t>0.80</w:t>
                  </w:r>
                  <w:r>
                    <w:rPr>
                      <w:rFonts w:hint="default" w:ascii="Times New Roman" w:hAnsi="Times New Roman" w:cs="Times New Roman"/>
                      <w:sz w:val="21"/>
                      <w:szCs w:val="21"/>
                      <w:u w:val="single"/>
                    </w:rPr>
                    <w:t>kg/h</w:t>
                  </w:r>
                </w:p>
              </w:tc>
              <w:tc>
                <w:tcPr>
                  <w:tcW w:w="983"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rPr>
                  </w:pPr>
                  <w:r>
                    <w:rPr>
                      <w:rFonts w:hint="eastAsia" w:cs="Times New Roman"/>
                      <w:sz w:val="21"/>
                      <w:szCs w:val="21"/>
                      <w:u w:val="single"/>
                      <w:lang w:val="en-US" w:eastAsia="zh-CN"/>
                    </w:rPr>
                    <w:t>13.33</w:t>
                  </w:r>
                  <w:r>
                    <w:rPr>
                      <w:rFonts w:hint="default" w:ascii="Times New Roman" w:hAnsi="Times New Roman" w:cs="Times New Roman"/>
                      <w:sz w:val="21"/>
                      <w:szCs w:val="21"/>
                      <w:u w:val="single"/>
                    </w:rPr>
                    <w:t>mg/m³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266" w:type="pct"/>
                  <w:vMerge w:val="continue"/>
                  <w:noWrap w:val="0"/>
                  <w:vAlign w:val="center"/>
                </w:tcPr>
                <w:p>
                  <w:pPr>
                    <w:pStyle w:val="38"/>
                    <w:bidi w:val="0"/>
                    <w:rPr>
                      <w:rFonts w:hint="default" w:ascii="Times New Roman" w:hAnsi="Times New Roman" w:cs="Times New Roman"/>
                      <w:sz w:val="21"/>
                      <w:szCs w:val="21"/>
                      <w:u w:val="single"/>
                    </w:rPr>
                  </w:pPr>
                </w:p>
              </w:tc>
              <w:tc>
                <w:tcPr>
                  <w:tcW w:w="962"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rPr>
                  </w:pPr>
                  <w:r>
                    <w:rPr>
                      <w:rFonts w:hint="default" w:ascii="Times New Roman" w:hAnsi="Times New Roman" w:cs="Times New Roman"/>
                      <w:sz w:val="21"/>
                      <w:szCs w:val="21"/>
                      <w:u w:val="single"/>
                    </w:rPr>
                    <w:t>无组织（10%）</w:t>
                  </w:r>
                </w:p>
              </w:tc>
              <w:tc>
                <w:tcPr>
                  <w:tcW w:w="868" w:type="pct"/>
                  <w:noWrap w:val="0"/>
                  <w:vAlign w:val="center"/>
                </w:tcPr>
                <w:p>
                  <w:pPr>
                    <w:pStyle w:val="38"/>
                    <w:bidi w:val="0"/>
                    <w:ind w:left="0" w:leftChars="0" w:right="0" w:rightChars="0" w:firstLine="0" w:firstLineChars="0"/>
                    <w:rPr>
                      <w:rFonts w:hint="default" w:cs="Times New Roman"/>
                      <w:sz w:val="21"/>
                      <w:szCs w:val="21"/>
                      <w:u w:val="single"/>
                      <w:lang w:val="en-US" w:eastAsia="zh-CN"/>
                    </w:rPr>
                  </w:pPr>
                  <w:r>
                    <w:rPr>
                      <w:rFonts w:hint="eastAsia" w:cs="Times New Roman"/>
                      <w:sz w:val="21"/>
                      <w:szCs w:val="21"/>
                      <w:u w:val="single"/>
                      <w:lang w:val="en-US" w:eastAsia="zh-CN"/>
                    </w:rPr>
                    <w:t>/</w:t>
                  </w:r>
                </w:p>
              </w:tc>
              <w:tc>
                <w:tcPr>
                  <w:tcW w:w="690"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rPr>
                  </w:pPr>
                  <w:r>
                    <w:rPr>
                      <w:rFonts w:hint="eastAsia" w:cs="Times New Roman"/>
                      <w:sz w:val="21"/>
                      <w:szCs w:val="21"/>
                      <w:u w:val="single"/>
                      <w:lang w:val="en-US" w:eastAsia="zh-CN"/>
                    </w:rPr>
                    <w:t>146</w:t>
                  </w:r>
                  <w:r>
                    <w:rPr>
                      <w:rFonts w:hint="default" w:ascii="Times New Roman" w:hAnsi="Times New Roman" w:cs="Times New Roman"/>
                      <w:sz w:val="21"/>
                      <w:szCs w:val="21"/>
                      <w:u w:val="single"/>
                    </w:rPr>
                    <w:t>kg/a</w:t>
                  </w:r>
                </w:p>
              </w:tc>
              <w:tc>
                <w:tcPr>
                  <w:tcW w:w="977"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rPr>
                  </w:pPr>
                  <w:r>
                    <w:rPr>
                      <w:rFonts w:hint="eastAsia" w:cs="Times New Roman"/>
                      <w:sz w:val="21"/>
                      <w:szCs w:val="21"/>
                      <w:u w:val="single"/>
                      <w:lang w:val="en-US" w:eastAsia="zh-CN"/>
                    </w:rPr>
                    <w:t>0.08</w:t>
                  </w:r>
                  <w:r>
                    <w:rPr>
                      <w:rFonts w:hint="default" w:ascii="Times New Roman" w:hAnsi="Times New Roman" w:cs="Times New Roman"/>
                      <w:sz w:val="21"/>
                      <w:szCs w:val="21"/>
                      <w:u w:val="single"/>
                    </w:rPr>
                    <w:t>kg/h</w:t>
                  </w:r>
                </w:p>
              </w:tc>
              <w:tc>
                <w:tcPr>
                  <w:tcW w:w="983"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rPr>
                  </w:pPr>
                  <w:r>
                    <w:rPr>
                      <w:rFonts w:hint="default" w:ascii="Times New Roman" w:hAnsi="Times New Roman" w:cs="Times New Roman"/>
                      <w:sz w:val="21"/>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266" w:type="pct"/>
                  <w:vMerge w:val="continue"/>
                  <w:noWrap w:val="0"/>
                  <w:vAlign w:val="center"/>
                </w:tcPr>
                <w:p>
                  <w:pPr>
                    <w:pStyle w:val="38"/>
                    <w:bidi w:val="0"/>
                    <w:rPr>
                      <w:rFonts w:hint="default" w:ascii="Times New Roman" w:hAnsi="Times New Roman" w:cs="Times New Roman"/>
                      <w:sz w:val="21"/>
                      <w:szCs w:val="21"/>
                      <w:u w:val="single"/>
                    </w:rPr>
                  </w:pPr>
                </w:p>
              </w:tc>
              <w:tc>
                <w:tcPr>
                  <w:tcW w:w="4483" w:type="pct"/>
                  <w:gridSpan w:val="5"/>
                  <w:noWrap w:val="0"/>
                  <w:vAlign w:val="center"/>
                </w:tcPr>
                <w:p>
                  <w:pPr>
                    <w:pStyle w:val="38"/>
                    <w:bidi w:val="0"/>
                    <w:rPr>
                      <w:rFonts w:hint="default" w:ascii="Times New Roman" w:hAnsi="Times New Roman" w:cs="Times New Roman"/>
                      <w:sz w:val="21"/>
                      <w:szCs w:val="21"/>
                      <w:u w:val="single"/>
                    </w:rPr>
                  </w:pPr>
                  <w:r>
                    <w:rPr>
                      <w:rFonts w:hint="default" w:ascii="Times New Roman" w:hAnsi="Times New Roman" w:cs="Times New Roman"/>
                      <w:sz w:val="21"/>
                      <w:szCs w:val="21"/>
                      <w:u w:val="single"/>
                    </w:rPr>
                    <w:t>去除效率为9</w:t>
                  </w:r>
                  <w:r>
                    <w:rPr>
                      <w:rFonts w:hint="default" w:ascii="Times New Roman" w:hAnsi="Times New Roman" w:cs="Times New Roman"/>
                      <w:sz w:val="21"/>
                      <w:szCs w:val="21"/>
                      <w:u w:val="single"/>
                      <w:lang w:val="en-US" w:eastAsia="zh-CN"/>
                    </w:rPr>
                    <w:t>5</w:t>
                  </w:r>
                  <w:r>
                    <w:rPr>
                      <w:rFonts w:hint="default" w:ascii="Times New Roman" w:hAnsi="Times New Roman" w:cs="Times New Roman"/>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266" w:type="pct"/>
                  <w:vMerge w:val="continue"/>
                  <w:noWrap w:val="0"/>
                  <w:vAlign w:val="center"/>
                </w:tcPr>
                <w:p>
                  <w:pPr>
                    <w:pStyle w:val="38"/>
                    <w:bidi w:val="0"/>
                    <w:rPr>
                      <w:rFonts w:hint="default" w:ascii="Times New Roman" w:hAnsi="Times New Roman" w:eastAsia="宋体" w:cs="Times New Roman"/>
                      <w:sz w:val="21"/>
                      <w:szCs w:val="21"/>
                      <w:u w:val="single"/>
                      <w:lang w:val="en-US" w:eastAsia="zh-CN"/>
                    </w:rPr>
                  </w:pPr>
                </w:p>
              </w:tc>
              <w:tc>
                <w:tcPr>
                  <w:tcW w:w="962" w:type="pct"/>
                  <w:noWrap w:val="0"/>
                  <w:vAlign w:val="center"/>
                </w:tcPr>
                <w:p>
                  <w:pPr>
                    <w:pStyle w:val="38"/>
                    <w:bidi w:val="0"/>
                    <w:ind w:left="0" w:leftChars="0" w:right="0" w:rightChars="0" w:firstLine="0" w:firstLineChars="0"/>
                    <w:rPr>
                      <w:rFonts w:hint="default" w:ascii="Times New Roman" w:hAnsi="Times New Roman" w:cs="Times New Roman"/>
                      <w:b/>
                      <w:bCs/>
                      <w:sz w:val="21"/>
                      <w:szCs w:val="21"/>
                      <w:u w:val="single"/>
                      <w:lang w:val="en-US" w:eastAsia="zh-CN"/>
                    </w:rPr>
                  </w:pPr>
                  <w:r>
                    <w:rPr>
                      <w:rFonts w:hint="eastAsia" w:cs="Times New Roman"/>
                      <w:b/>
                      <w:bCs/>
                      <w:sz w:val="21"/>
                      <w:szCs w:val="21"/>
                      <w:u w:val="single"/>
                      <w:lang w:val="en-US" w:eastAsia="zh-CN"/>
                    </w:rPr>
                    <w:t>排放方式</w:t>
                  </w:r>
                </w:p>
              </w:tc>
              <w:tc>
                <w:tcPr>
                  <w:tcW w:w="868" w:type="pct"/>
                  <w:noWrap w:val="0"/>
                  <w:vAlign w:val="center"/>
                </w:tcPr>
                <w:p>
                  <w:pPr>
                    <w:pStyle w:val="38"/>
                    <w:bidi w:val="0"/>
                    <w:ind w:left="0" w:leftChars="0" w:right="0" w:rightChars="0" w:firstLine="0" w:firstLineChars="0"/>
                    <w:rPr>
                      <w:rFonts w:hint="eastAsia" w:cs="Times New Roman"/>
                      <w:b/>
                      <w:bCs/>
                      <w:sz w:val="21"/>
                      <w:szCs w:val="21"/>
                      <w:u w:val="single"/>
                      <w:lang w:val="en-US" w:eastAsia="zh-CN"/>
                    </w:rPr>
                  </w:pPr>
                  <w:r>
                    <w:rPr>
                      <w:rFonts w:hint="eastAsia" w:cs="Times New Roman"/>
                      <w:b/>
                      <w:bCs/>
                      <w:sz w:val="21"/>
                      <w:szCs w:val="21"/>
                      <w:u w:val="single"/>
                      <w:lang w:val="en-US" w:eastAsia="zh-CN"/>
                    </w:rPr>
                    <w:t>排放口编号</w:t>
                  </w:r>
                </w:p>
              </w:tc>
              <w:tc>
                <w:tcPr>
                  <w:tcW w:w="690" w:type="pct"/>
                  <w:noWrap w:val="0"/>
                  <w:vAlign w:val="center"/>
                </w:tcPr>
                <w:p>
                  <w:pPr>
                    <w:pStyle w:val="38"/>
                    <w:bidi w:val="0"/>
                    <w:ind w:left="0" w:leftChars="0" w:right="0" w:rightChars="0" w:firstLine="0" w:firstLineChars="0"/>
                    <w:rPr>
                      <w:rFonts w:hint="eastAsia" w:cs="Times New Roman"/>
                      <w:b/>
                      <w:bCs/>
                      <w:sz w:val="21"/>
                      <w:szCs w:val="21"/>
                      <w:u w:val="single"/>
                      <w:lang w:val="en-US" w:eastAsia="zh-CN"/>
                    </w:rPr>
                  </w:pPr>
                  <w:r>
                    <w:rPr>
                      <w:rFonts w:hint="eastAsia" w:cs="Times New Roman"/>
                      <w:b/>
                      <w:bCs/>
                      <w:sz w:val="21"/>
                      <w:szCs w:val="21"/>
                      <w:u w:val="single"/>
                      <w:lang w:val="en-US" w:eastAsia="zh-CN"/>
                    </w:rPr>
                    <w:t>排放量</w:t>
                  </w:r>
                </w:p>
              </w:tc>
              <w:tc>
                <w:tcPr>
                  <w:tcW w:w="977" w:type="pct"/>
                  <w:noWrap w:val="0"/>
                  <w:vAlign w:val="center"/>
                </w:tcPr>
                <w:p>
                  <w:pPr>
                    <w:pStyle w:val="38"/>
                    <w:bidi w:val="0"/>
                    <w:ind w:left="0" w:leftChars="0" w:right="0" w:rightChars="0" w:firstLine="0" w:firstLineChars="0"/>
                    <w:rPr>
                      <w:rFonts w:hint="eastAsia" w:cs="Times New Roman"/>
                      <w:b/>
                      <w:bCs/>
                      <w:sz w:val="21"/>
                      <w:szCs w:val="21"/>
                      <w:u w:val="single"/>
                      <w:lang w:val="en-US" w:eastAsia="zh-CN"/>
                    </w:rPr>
                  </w:pPr>
                  <w:r>
                    <w:rPr>
                      <w:rFonts w:hint="eastAsia" w:cs="Times New Roman"/>
                      <w:b/>
                      <w:bCs/>
                      <w:sz w:val="21"/>
                      <w:szCs w:val="21"/>
                      <w:u w:val="single"/>
                      <w:lang w:val="en-US" w:eastAsia="zh-CN"/>
                    </w:rPr>
                    <w:t>排放速率</w:t>
                  </w:r>
                </w:p>
              </w:tc>
              <w:tc>
                <w:tcPr>
                  <w:tcW w:w="983" w:type="pct"/>
                  <w:noWrap w:val="0"/>
                  <w:vAlign w:val="center"/>
                </w:tcPr>
                <w:p>
                  <w:pPr>
                    <w:pStyle w:val="38"/>
                    <w:bidi w:val="0"/>
                    <w:ind w:left="0" w:leftChars="0" w:right="0" w:rightChars="0" w:firstLine="0" w:firstLineChars="0"/>
                    <w:rPr>
                      <w:rFonts w:hint="eastAsia" w:cs="Times New Roman"/>
                      <w:b/>
                      <w:bCs/>
                      <w:sz w:val="21"/>
                      <w:szCs w:val="21"/>
                      <w:u w:val="single"/>
                      <w:lang w:val="en-US" w:eastAsia="zh-CN"/>
                    </w:rPr>
                  </w:pPr>
                  <w:r>
                    <w:rPr>
                      <w:rFonts w:hint="eastAsia" w:cs="Times New Roman"/>
                      <w:b/>
                      <w:bCs/>
                      <w:sz w:val="21"/>
                      <w:szCs w:val="21"/>
                      <w:u w:val="single"/>
                      <w:lang w:val="en-US" w:eastAsia="zh-CN"/>
                    </w:rPr>
                    <w:t>排放浓度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266" w:type="pct"/>
                  <w:vMerge w:val="continue"/>
                  <w:noWrap w:val="0"/>
                  <w:vAlign w:val="center"/>
                </w:tcPr>
                <w:p>
                  <w:pPr>
                    <w:pStyle w:val="38"/>
                    <w:bidi w:val="0"/>
                    <w:rPr>
                      <w:rFonts w:hint="default" w:ascii="Times New Roman" w:hAnsi="Times New Roman" w:eastAsia="宋体" w:cs="Times New Roman"/>
                      <w:sz w:val="21"/>
                      <w:szCs w:val="21"/>
                      <w:u w:val="single"/>
                      <w:lang w:val="en-US" w:eastAsia="zh-CN"/>
                    </w:rPr>
                  </w:pPr>
                </w:p>
              </w:tc>
              <w:tc>
                <w:tcPr>
                  <w:tcW w:w="962"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有组织</w:t>
                  </w:r>
                </w:p>
              </w:tc>
              <w:tc>
                <w:tcPr>
                  <w:tcW w:w="868" w:type="pct"/>
                  <w:noWrap w:val="0"/>
                  <w:vAlign w:val="center"/>
                </w:tcPr>
                <w:p>
                  <w:pPr>
                    <w:pStyle w:val="38"/>
                    <w:bidi w:val="0"/>
                    <w:ind w:left="0" w:leftChars="0" w:right="0" w:rightChars="0" w:firstLine="0" w:firstLineChars="0"/>
                    <w:rPr>
                      <w:rFonts w:hint="eastAsia" w:cs="Times New Roman"/>
                      <w:sz w:val="21"/>
                      <w:szCs w:val="21"/>
                      <w:u w:val="single"/>
                      <w:lang w:val="en-US" w:eastAsia="zh-CN"/>
                    </w:rPr>
                  </w:pPr>
                  <w:r>
                    <w:rPr>
                      <w:rFonts w:hint="eastAsia" w:cs="Times New Roman"/>
                      <w:sz w:val="21"/>
                      <w:szCs w:val="21"/>
                      <w:u w:val="single"/>
                      <w:lang w:val="en-US" w:eastAsia="zh-CN"/>
                    </w:rPr>
                    <w:t>DA001</w:t>
                  </w:r>
                </w:p>
              </w:tc>
              <w:tc>
                <w:tcPr>
                  <w:tcW w:w="690"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rPr>
                  </w:pPr>
                  <w:r>
                    <w:rPr>
                      <w:rFonts w:hint="eastAsia" w:cs="Times New Roman"/>
                      <w:sz w:val="21"/>
                      <w:szCs w:val="21"/>
                      <w:u w:val="single"/>
                      <w:lang w:val="en-US" w:eastAsia="zh-CN"/>
                    </w:rPr>
                    <w:t>65.70</w:t>
                  </w:r>
                  <w:r>
                    <w:rPr>
                      <w:rFonts w:hint="default" w:ascii="Times New Roman" w:hAnsi="Times New Roman" w:cs="Times New Roman"/>
                      <w:sz w:val="21"/>
                      <w:szCs w:val="21"/>
                      <w:u w:val="single"/>
                    </w:rPr>
                    <w:t>kg/a</w:t>
                  </w:r>
                </w:p>
              </w:tc>
              <w:tc>
                <w:tcPr>
                  <w:tcW w:w="977"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rPr>
                  </w:pPr>
                  <w:r>
                    <w:rPr>
                      <w:rFonts w:hint="eastAsia" w:cs="Times New Roman"/>
                      <w:sz w:val="21"/>
                      <w:szCs w:val="21"/>
                      <w:u w:val="single"/>
                      <w:lang w:val="en-US" w:eastAsia="zh-CN"/>
                    </w:rPr>
                    <w:t>0.04</w:t>
                  </w:r>
                  <w:r>
                    <w:rPr>
                      <w:rFonts w:hint="default" w:ascii="Times New Roman" w:hAnsi="Times New Roman" w:cs="Times New Roman"/>
                      <w:sz w:val="21"/>
                      <w:szCs w:val="21"/>
                      <w:u w:val="single"/>
                    </w:rPr>
                    <w:t>kg/h</w:t>
                  </w:r>
                </w:p>
              </w:tc>
              <w:tc>
                <w:tcPr>
                  <w:tcW w:w="983"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rPr>
                  </w:pPr>
                  <w:r>
                    <w:rPr>
                      <w:rFonts w:hint="eastAsia" w:cs="Times New Roman"/>
                      <w:sz w:val="21"/>
                      <w:szCs w:val="21"/>
                      <w:u w:val="single"/>
                      <w:lang w:val="en-US" w:eastAsia="zh-CN"/>
                    </w:rPr>
                    <w:t>0.67</w:t>
                  </w:r>
                  <w:r>
                    <w:rPr>
                      <w:rFonts w:hint="default" w:ascii="Times New Roman" w:hAnsi="Times New Roman" w:cs="Times New Roman"/>
                      <w:sz w:val="21"/>
                      <w:szCs w:val="21"/>
                      <w:u w:val="single"/>
                    </w:rPr>
                    <w:t>mg/m³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66" w:type="pct"/>
                  <w:vMerge w:val="continue"/>
                  <w:noWrap w:val="0"/>
                  <w:vAlign w:val="center"/>
                </w:tcPr>
                <w:p>
                  <w:pPr>
                    <w:pStyle w:val="38"/>
                    <w:bidi w:val="0"/>
                    <w:rPr>
                      <w:rFonts w:hint="default" w:ascii="Times New Roman" w:hAnsi="Times New Roman" w:eastAsia="宋体" w:cs="Times New Roman"/>
                      <w:sz w:val="21"/>
                      <w:szCs w:val="21"/>
                      <w:u w:val="single"/>
                      <w:lang w:val="en-US" w:eastAsia="zh-CN"/>
                    </w:rPr>
                  </w:pPr>
                </w:p>
              </w:tc>
              <w:tc>
                <w:tcPr>
                  <w:tcW w:w="962"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无组织</w:t>
                  </w:r>
                </w:p>
              </w:tc>
              <w:tc>
                <w:tcPr>
                  <w:tcW w:w="868" w:type="pct"/>
                  <w:noWrap w:val="0"/>
                  <w:vAlign w:val="center"/>
                </w:tcPr>
                <w:p>
                  <w:pPr>
                    <w:pStyle w:val="38"/>
                    <w:bidi w:val="0"/>
                    <w:ind w:left="0" w:leftChars="0" w:right="0" w:rightChars="0" w:firstLine="0" w:firstLineChars="0"/>
                    <w:rPr>
                      <w:rFonts w:hint="default" w:cs="Times New Roman"/>
                      <w:sz w:val="21"/>
                      <w:szCs w:val="21"/>
                      <w:u w:val="single"/>
                      <w:lang w:val="en-US" w:eastAsia="zh-CN"/>
                    </w:rPr>
                  </w:pPr>
                  <w:r>
                    <w:rPr>
                      <w:rFonts w:hint="eastAsia" w:cs="Times New Roman"/>
                      <w:sz w:val="21"/>
                      <w:szCs w:val="21"/>
                      <w:u w:val="single"/>
                      <w:lang w:val="en-US" w:eastAsia="zh-CN"/>
                    </w:rPr>
                    <w:t>/</w:t>
                  </w:r>
                </w:p>
              </w:tc>
              <w:tc>
                <w:tcPr>
                  <w:tcW w:w="690"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lang w:val="en-US" w:eastAsia="zh-CN"/>
                    </w:rPr>
                  </w:pPr>
                  <w:r>
                    <w:rPr>
                      <w:rFonts w:hint="eastAsia" w:cs="Times New Roman"/>
                      <w:sz w:val="21"/>
                      <w:szCs w:val="21"/>
                      <w:u w:val="single"/>
                      <w:lang w:val="en-US" w:eastAsia="zh-CN"/>
                    </w:rPr>
                    <w:t>73</w:t>
                  </w:r>
                  <w:r>
                    <w:rPr>
                      <w:rFonts w:hint="default" w:ascii="Times New Roman" w:hAnsi="Times New Roman" w:cs="Times New Roman"/>
                      <w:sz w:val="21"/>
                      <w:szCs w:val="21"/>
                      <w:u w:val="single"/>
                    </w:rPr>
                    <w:t>kg/a</w:t>
                  </w:r>
                </w:p>
              </w:tc>
              <w:tc>
                <w:tcPr>
                  <w:tcW w:w="977"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lang w:val="en-US" w:eastAsia="zh-CN"/>
                    </w:rPr>
                  </w:pPr>
                  <w:r>
                    <w:rPr>
                      <w:rFonts w:hint="eastAsia" w:cs="Times New Roman"/>
                      <w:sz w:val="21"/>
                      <w:szCs w:val="21"/>
                      <w:u w:val="single"/>
                      <w:lang w:val="en-US" w:eastAsia="zh-CN"/>
                    </w:rPr>
                    <w:t>0.04</w:t>
                  </w:r>
                  <w:r>
                    <w:rPr>
                      <w:rFonts w:hint="default" w:ascii="Times New Roman" w:hAnsi="Times New Roman" w:cs="Times New Roman"/>
                      <w:sz w:val="21"/>
                      <w:szCs w:val="21"/>
                      <w:u w:val="single"/>
                    </w:rPr>
                    <w:t>kg/h</w:t>
                  </w:r>
                </w:p>
              </w:tc>
              <w:tc>
                <w:tcPr>
                  <w:tcW w:w="983"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w:t>
                  </w:r>
                </w:p>
              </w:tc>
            </w:tr>
          </w:tbl>
          <w:p>
            <w:pPr>
              <w:keepNext w:val="0"/>
              <w:keepLines w:val="0"/>
              <w:pageBreakBefore w:val="0"/>
              <w:widowControl w:val="0"/>
              <w:kinsoku/>
              <w:wordWrap/>
              <w:overflowPunct/>
              <w:topLinePunct w:val="0"/>
              <w:autoSpaceDE/>
              <w:autoSpaceDN/>
              <w:bidi w:val="0"/>
              <w:adjustRightInd/>
              <w:snapToGrid/>
              <w:spacing w:before="0" w:beforeLines="100" w:line="360" w:lineRule="auto"/>
              <w:ind w:firstLine="480" w:firstLineChars="200"/>
              <w:textAlignment w:val="auto"/>
              <w:rPr>
                <w:rStyle w:val="59"/>
                <w:rFonts w:hint="default" w:ascii="Times New Roman" w:hAnsi="Times New Roman" w:cs="Times New Roman"/>
                <w:color w:val="auto"/>
                <w:u w:val="single"/>
              </w:rPr>
            </w:pPr>
            <w:r>
              <w:rPr>
                <w:rFonts w:hint="default"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u w:val="single"/>
                <w:lang w:val="en-US" w:eastAsia="zh-CN"/>
              </w:rPr>
              <w:t>2</w:t>
            </w:r>
            <w:r>
              <w:rPr>
                <w:rFonts w:hint="default"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u w:val="single"/>
              </w:rPr>
              <w:t>垃圾卸料、压缩过程中恶臭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根据对国内现有垃圾转运站污染物排放情况调查并参考《生活垃圾中转站恶臭污染防治对策》(环境卫生工程)，转运站的废气主要来自于转运车间垃圾倾倒和压缩过程，废气中主要污染物为H</w:t>
            </w:r>
            <w:r>
              <w:rPr>
                <w:rFonts w:hint="default" w:ascii="Times New Roman" w:hAnsi="Times New Roman" w:eastAsia="宋体" w:cs="Times New Roman"/>
                <w:sz w:val="24"/>
                <w:szCs w:val="24"/>
                <w:u w:val="single"/>
                <w:vertAlign w:val="subscript"/>
              </w:rPr>
              <w:t>2</w:t>
            </w:r>
            <w:r>
              <w:rPr>
                <w:rFonts w:hint="default" w:ascii="Times New Roman" w:hAnsi="Times New Roman" w:eastAsia="宋体" w:cs="Times New Roman"/>
                <w:sz w:val="24"/>
                <w:szCs w:val="24"/>
                <w:u w:val="single"/>
              </w:rPr>
              <w:t>S和NH</w:t>
            </w:r>
            <w:r>
              <w:rPr>
                <w:rFonts w:hint="default" w:ascii="Times New Roman" w:hAnsi="Times New Roman" w:eastAsia="宋体" w:cs="Times New Roman"/>
                <w:sz w:val="24"/>
                <w:szCs w:val="24"/>
                <w:u w:val="single"/>
                <w:vertAlign w:val="subscript"/>
              </w:rPr>
              <w:t>3</w:t>
            </w:r>
            <w:r>
              <w:rPr>
                <w:rFonts w:hint="default" w:ascii="Times New Roman" w:hAnsi="Times New Roman" w:eastAsia="宋体" w:cs="Times New Roman"/>
                <w:sz w:val="24"/>
                <w:szCs w:val="24"/>
                <w:u w:val="single"/>
              </w:rPr>
              <w:t>。每吨垃圾的废气排污参数</w:t>
            </w:r>
            <w:r>
              <w:rPr>
                <w:rFonts w:hint="default"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u w:val="single"/>
              </w:rPr>
              <w:t>NH</w:t>
            </w:r>
            <w:r>
              <w:rPr>
                <w:rFonts w:hint="default" w:ascii="Times New Roman" w:hAnsi="Times New Roman" w:eastAsia="宋体" w:cs="Times New Roman"/>
                <w:sz w:val="24"/>
                <w:szCs w:val="24"/>
                <w:u w:val="single"/>
                <w:vertAlign w:val="subscript"/>
              </w:rPr>
              <w:t>3</w:t>
            </w:r>
            <w:r>
              <w:rPr>
                <w:rFonts w:hint="default" w:ascii="Times New Roman" w:hAnsi="Times New Roman" w:eastAsia="宋体" w:cs="Times New Roman"/>
                <w:sz w:val="24"/>
                <w:szCs w:val="24"/>
                <w:u w:val="single"/>
              </w:rPr>
              <w:t>为60.59g/t</w:t>
            </w:r>
            <w:r>
              <w:rPr>
                <w:rFonts w:hint="default"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u w:val="single"/>
              </w:rPr>
              <w:t>H</w:t>
            </w:r>
            <w:r>
              <w:rPr>
                <w:rFonts w:hint="default" w:ascii="Times New Roman" w:hAnsi="Times New Roman" w:eastAsia="宋体" w:cs="Times New Roman"/>
                <w:sz w:val="24"/>
                <w:szCs w:val="24"/>
                <w:u w:val="single"/>
                <w:vertAlign w:val="subscript"/>
              </w:rPr>
              <w:t>2</w:t>
            </w:r>
            <w:r>
              <w:rPr>
                <w:rFonts w:hint="default" w:ascii="Times New Roman" w:hAnsi="Times New Roman" w:eastAsia="宋体" w:cs="Times New Roman"/>
                <w:sz w:val="24"/>
                <w:szCs w:val="24"/>
                <w:u w:val="single"/>
              </w:rPr>
              <w:t>S为6.20g/t，</w:t>
            </w:r>
            <w:r>
              <w:rPr>
                <w:rFonts w:hint="eastAsia" w:cs="Times New Roman"/>
                <w:sz w:val="24"/>
                <w:szCs w:val="24"/>
                <w:u w:val="single"/>
                <w:lang w:eastAsia="zh-CN"/>
              </w:rPr>
              <w:t>本项目</w:t>
            </w:r>
            <w:r>
              <w:rPr>
                <w:rFonts w:hint="default" w:ascii="Times New Roman" w:hAnsi="Times New Roman" w:eastAsia="宋体" w:cs="Times New Roman"/>
                <w:sz w:val="24"/>
                <w:szCs w:val="24"/>
                <w:u w:val="single"/>
              </w:rPr>
              <w:t>在垃圾</w:t>
            </w:r>
            <w:r>
              <w:rPr>
                <w:rFonts w:hint="eastAsia" w:cs="Times New Roman"/>
                <w:sz w:val="24"/>
                <w:szCs w:val="24"/>
                <w:u w:val="single"/>
                <w:lang w:eastAsia="zh-CN"/>
              </w:rPr>
              <w:t>卸料口设置一套喷雾降尘系统，主要成分为自来水，</w:t>
            </w:r>
            <w:r>
              <w:rPr>
                <w:rFonts w:hint="eastAsia"/>
                <w:u w:val="single"/>
                <w:lang w:eastAsia="zh-CN"/>
              </w:rPr>
              <w:t>主要效果为除尘，</w:t>
            </w:r>
            <w:r>
              <w:rPr>
                <w:rFonts w:hint="default" w:ascii="Times New Roman" w:hAnsi="Times New Roman" w:eastAsia="宋体" w:cs="Times New Roman"/>
                <w:sz w:val="24"/>
                <w:szCs w:val="24"/>
                <w:u w:val="single"/>
              </w:rPr>
              <w:t>NH</w:t>
            </w:r>
            <w:r>
              <w:rPr>
                <w:rFonts w:hint="default" w:ascii="Times New Roman" w:hAnsi="Times New Roman" w:eastAsia="宋体" w:cs="Times New Roman"/>
                <w:sz w:val="24"/>
                <w:szCs w:val="24"/>
                <w:u w:val="single"/>
                <w:vertAlign w:val="subscript"/>
              </w:rPr>
              <w:t>3</w:t>
            </w:r>
            <w:r>
              <w:rPr>
                <w:rFonts w:hint="eastAsia" w:cs="Times New Roman"/>
                <w:sz w:val="24"/>
                <w:szCs w:val="24"/>
                <w:u w:val="single"/>
                <w:lang w:eastAsia="zh-CN"/>
              </w:rPr>
              <w:t>、</w:t>
            </w:r>
            <w:r>
              <w:rPr>
                <w:rFonts w:hint="default" w:ascii="Times New Roman" w:hAnsi="Times New Roman" w:eastAsia="宋体" w:cs="Times New Roman"/>
                <w:sz w:val="24"/>
                <w:szCs w:val="24"/>
                <w:u w:val="single"/>
              </w:rPr>
              <w:t>H</w:t>
            </w:r>
            <w:r>
              <w:rPr>
                <w:rFonts w:hint="default" w:ascii="Times New Roman" w:hAnsi="Times New Roman" w:eastAsia="宋体" w:cs="Times New Roman"/>
                <w:sz w:val="24"/>
                <w:szCs w:val="24"/>
                <w:u w:val="single"/>
                <w:vertAlign w:val="subscript"/>
              </w:rPr>
              <w:t>2</w:t>
            </w:r>
            <w:r>
              <w:rPr>
                <w:rFonts w:hint="default" w:ascii="Times New Roman" w:hAnsi="Times New Roman" w:eastAsia="宋体" w:cs="Times New Roman"/>
                <w:sz w:val="24"/>
                <w:szCs w:val="24"/>
                <w:u w:val="single"/>
              </w:rPr>
              <w:t>S</w:t>
            </w:r>
            <w:r>
              <w:rPr>
                <w:rFonts w:hint="eastAsia" w:cs="Times New Roman"/>
                <w:sz w:val="24"/>
                <w:szCs w:val="24"/>
                <w:u w:val="single"/>
                <w:lang w:eastAsia="zh-CN"/>
              </w:rPr>
              <w:t>去除效率极低，可忽略不计，本项目在</w:t>
            </w:r>
            <w:r>
              <w:rPr>
                <w:rFonts w:hint="default" w:ascii="Times New Roman" w:hAnsi="Times New Roman" w:eastAsia="宋体" w:cs="Times New Roman"/>
                <w:sz w:val="24"/>
                <w:szCs w:val="24"/>
                <w:u w:val="single"/>
              </w:rPr>
              <w:t>压缩作业点上部</w:t>
            </w:r>
            <w:r>
              <w:rPr>
                <w:rFonts w:hint="eastAsia" w:cs="Times New Roman"/>
                <w:sz w:val="24"/>
                <w:szCs w:val="24"/>
                <w:u w:val="single"/>
                <w:lang w:eastAsia="zh-CN"/>
              </w:rPr>
              <w:t>设置两套高效生物吸附塔，压缩产生的</w:t>
            </w:r>
            <w:r>
              <w:rPr>
                <w:rFonts w:hint="default" w:ascii="Times New Roman" w:hAnsi="Times New Roman" w:eastAsia="宋体" w:cs="Times New Roman"/>
                <w:sz w:val="24"/>
                <w:szCs w:val="24"/>
                <w:u w:val="single"/>
              </w:rPr>
              <w:t>恶臭气体</w:t>
            </w:r>
            <w:r>
              <w:rPr>
                <w:rFonts w:hint="eastAsia" w:ascii="Times New Roman" w:hAnsi="Times New Roman" w:eastAsia="宋体" w:cs="Times New Roman"/>
                <w:sz w:val="24"/>
                <w:szCs w:val="24"/>
                <w:u w:val="single"/>
                <w:lang w:eastAsia="zh-CN"/>
              </w:rPr>
              <w:t>通过</w:t>
            </w:r>
            <w:r>
              <w:rPr>
                <w:rFonts w:hint="default" w:ascii="Times New Roman" w:hAnsi="Times New Roman" w:eastAsia="宋体" w:cs="Times New Roman"/>
                <w:sz w:val="24"/>
                <w:szCs w:val="24"/>
                <w:u w:val="single"/>
              </w:rPr>
              <w:t>吸气罩进行收集</w:t>
            </w:r>
            <w:r>
              <w:rPr>
                <w:rFonts w:hint="eastAsia" w:cs="Times New Roman"/>
                <w:sz w:val="24"/>
                <w:szCs w:val="24"/>
                <w:u w:val="single"/>
                <w:lang w:eastAsia="zh-CN"/>
              </w:rPr>
              <w:t>（</w:t>
            </w:r>
            <w:r>
              <w:rPr>
                <w:rFonts w:hint="default" w:ascii="Times New Roman" w:hAnsi="Times New Roman" w:eastAsia="宋体" w:cs="Times New Roman"/>
                <w:sz w:val="24"/>
                <w:szCs w:val="24"/>
                <w:u w:val="single"/>
              </w:rPr>
              <w:t>项目集气罩集气效率以90%计</w:t>
            </w:r>
            <w:r>
              <w:rPr>
                <w:rFonts w:hint="eastAsia" w:cs="Times New Roman"/>
                <w:sz w:val="24"/>
                <w:szCs w:val="24"/>
                <w:u w:val="single"/>
                <w:lang w:eastAsia="zh-CN"/>
              </w:rPr>
              <w:t>）</w:t>
            </w:r>
            <w:r>
              <w:rPr>
                <w:rFonts w:hint="default" w:ascii="Times New Roman" w:hAnsi="Times New Roman" w:eastAsia="宋体" w:cs="Times New Roman"/>
                <w:sz w:val="24"/>
                <w:szCs w:val="24"/>
                <w:u w:val="single"/>
              </w:rPr>
              <w:t>，经</w:t>
            </w:r>
            <w:r>
              <w:rPr>
                <w:rFonts w:hint="eastAsia" w:cs="Times New Roman"/>
                <w:sz w:val="24"/>
                <w:szCs w:val="24"/>
                <w:u w:val="single"/>
                <w:lang w:eastAsia="zh-CN"/>
              </w:rPr>
              <w:t>高效生物吸附塔</w:t>
            </w:r>
            <w:r>
              <w:rPr>
                <w:rFonts w:hint="default" w:ascii="Times New Roman" w:hAnsi="Times New Roman" w:eastAsia="宋体" w:cs="Times New Roman"/>
                <w:sz w:val="24"/>
                <w:szCs w:val="24"/>
                <w:u w:val="single"/>
              </w:rPr>
              <w:t>处理后通过</w:t>
            </w:r>
            <w:r>
              <w:rPr>
                <w:rFonts w:hint="eastAsia" w:cs="Times New Roman"/>
                <w:sz w:val="24"/>
                <w:szCs w:val="24"/>
                <w:u w:val="single"/>
                <w:lang w:val="en-US" w:eastAsia="zh-CN"/>
              </w:rPr>
              <w:t>1根</w:t>
            </w:r>
            <w:r>
              <w:rPr>
                <w:rFonts w:hint="default" w:ascii="Times New Roman" w:hAnsi="Times New Roman" w:eastAsia="宋体" w:cs="Times New Roman"/>
                <w:sz w:val="24"/>
                <w:szCs w:val="24"/>
                <w:u w:val="single"/>
              </w:rPr>
              <w:t>15m高排气简排放</w:t>
            </w:r>
            <w:r>
              <w:rPr>
                <w:rFonts w:hint="eastAsia" w:cs="Times New Roman"/>
                <w:sz w:val="24"/>
                <w:szCs w:val="24"/>
                <w:u w:val="single"/>
                <w:lang w:eastAsia="zh-CN"/>
              </w:rPr>
              <w:t>（参考普遍使用的</w:t>
            </w:r>
            <w:r>
              <w:rPr>
                <w:rFonts w:hint="eastAsia" w:cs="Times New Roman"/>
                <w:sz w:val="24"/>
                <w:szCs w:val="24"/>
                <w:u w:val="single"/>
                <w:lang w:val="en-US" w:eastAsia="zh-CN"/>
              </w:rPr>
              <w:t>高效生物吸附塔</w:t>
            </w:r>
            <w:r>
              <w:rPr>
                <w:rFonts w:hint="default" w:ascii="Times New Roman" w:hAnsi="Times New Roman" w:eastAsia="宋体" w:cs="Times New Roman"/>
                <w:sz w:val="24"/>
                <w:szCs w:val="24"/>
                <w:u w:val="single"/>
                <w:lang w:val="en-US" w:eastAsia="zh-CN"/>
              </w:rPr>
              <w:t>处</w:t>
            </w:r>
            <w:r>
              <w:rPr>
                <w:rFonts w:hint="eastAsia"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lang w:val="en-US" w:eastAsia="zh-CN"/>
              </w:rPr>
              <w:t>理效率</w:t>
            </w:r>
            <w:r>
              <w:rPr>
                <w:rFonts w:hint="eastAsia" w:cs="Times New Roman"/>
                <w:sz w:val="24"/>
                <w:szCs w:val="24"/>
                <w:u w:val="single"/>
                <w:lang w:val="en-US" w:eastAsia="zh-CN"/>
              </w:rPr>
              <w:t>，</w:t>
            </w:r>
            <w:r>
              <w:rPr>
                <w:rFonts w:hint="default" w:ascii="Times New Roman" w:hAnsi="Times New Roman" w:eastAsia="宋体" w:cs="Times New Roman"/>
                <w:sz w:val="24"/>
                <w:szCs w:val="24"/>
                <w:u w:val="single"/>
              </w:rPr>
              <w:t>以9</w:t>
            </w:r>
            <w:r>
              <w:rPr>
                <w:rFonts w:hint="default" w:ascii="Times New Roman" w:hAnsi="Times New Roman" w:eastAsia="宋体" w:cs="Times New Roman"/>
                <w:sz w:val="24"/>
                <w:szCs w:val="24"/>
                <w:u w:val="single"/>
                <w:lang w:val="en-US" w:eastAsia="zh-CN"/>
              </w:rPr>
              <w:t>5</w:t>
            </w:r>
            <w:r>
              <w:rPr>
                <w:rFonts w:hint="default" w:ascii="Times New Roman" w:hAnsi="Times New Roman" w:eastAsia="宋体" w:cs="Times New Roman"/>
                <w:sz w:val="24"/>
                <w:szCs w:val="24"/>
                <w:u w:val="single"/>
              </w:rPr>
              <w:t>%计</w:t>
            </w:r>
            <w:r>
              <w:rPr>
                <w:rFonts w:hint="eastAsia" w:cs="Times New Roman"/>
                <w:sz w:val="24"/>
                <w:szCs w:val="24"/>
                <w:u w:val="single"/>
                <w:lang w:eastAsia="zh-CN"/>
              </w:rPr>
              <w:t>），</w:t>
            </w:r>
            <w:r>
              <w:rPr>
                <w:rFonts w:hint="default" w:ascii="Times New Roman" w:hAnsi="Times New Roman" w:eastAsia="宋体" w:cs="Times New Roman"/>
                <w:sz w:val="24"/>
                <w:szCs w:val="24"/>
                <w:u w:val="single"/>
                <w:lang w:val="en-US" w:eastAsia="zh-CN"/>
              </w:rPr>
              <w:t>风机量为</w:t>
            </w:r>
            <w:r>
              <w:rPr>
                <w:rFonts w:hint="eastAsia" w:cs="Times New Roman"/>
                <w:sz w:val="24"/>
                <w:szCs w:val="24"/>
                <w:u w:val="single"/>
                <w:lang w:val="en-US" w:eastAsia="zh-CN"/>
              </w:rPr>
              <w:t>60000</w:t>
            </w:r>
            <w:r>
              <w:rPr>
                <w:rFonts w:hint="default" w:ascii="Times New Roman" w:hAnsi="Times New Roman" w:cs="Times New Roman"/>
                <w:szCs w:val="21"/>
                <w:u w:val="single"/>
              </w:rPr>
              <w:t>m³</w:t>
            </w:r>
            <w:r>
              <w:rPr>
                <w:rFonts w:hint="default" w:ascii="Times New Roman" w:hAnsi="Times New Roman" w:cs="Times New Roman"/>
                <w:szCs w:val="21"/>
                <w:u w:val="single"/>
                <w:lang w:val="en-US" w:eastAsia="zh-CN"/>
              </w:rPr>
              <w:t>/h</w:t>
            </w:r>
            <w:r>
              <w:rPr>
                <w:rFonts w:hint="eastAsia" w:cs="Times New Roman"/>
                <w:sz w:val="24"/>
                <w:szCs w:val="24"/>
                <w:u w:val="single"/>
                <w:lang w:eastAsia="zh-CN"/>
              </w:rPr>
              <w:t>，针对剩余的无组织废气，压装车间及卸料大厅设置一套空间异味喷淋除臭系统（主要喷淋植物液，除尘除臭效率为</w:t>
            </w:r>
            <w:r>
              <w:rPr>
                <w:rFonts w:hint="eastAsia" w:cs="Times New Roman"/>
                <w:sz w:val="24"/>
                <w:szCs w:val="24"/>
                <w:u w:val="single"/>
                <w:lang w:val="en-US" w:eastAsia="zh-CN"/>
              </w:rPr>
              <w:t>50%</w:t>
            </w:r>
            <w:r>
              <w:rPr>
                <w:rFonts w:hint="eastAsia" w:cs="Times New Roman"/>
                <w:sz w:val="24"/>
                <w:szCs w:val="24"/>
                <w:u w:val="single"/>
                <w:lang w:eastAsia="zh-CN"/>
              </w:rPr>
              <w:t>），共</w:t>
            </w:r>
            <w:r>
              <w:rPr>
                <w:rFonts w:hint="eastAsia" w:cs="Times New Roman"/>
                <w:sz w:val="24"/>
                <w:szCs w:val="24"/>
                <w:u w:val="single"/>
                <w:lang w:val="en-US" w:eastAsia="zh-CN"/>
              </w:rPr>
              <w:t>200个喷嘴</w:t>
            </w:r>
            <w:r>
              <w:rPr>
                <w:rFonts w:hint="default" w:ascii="Times New Roman" w:hAnsi="Times New Roman" w:eastAsia="宋体" w:cs="Times New Roman"/>
                <w:sz w:val="24"/>
                <w:szCs w:val="24"/>
                <w:u w:val="single"/>
              </w:rPr>
              <w:t>。为更加彻底清除车间内恶臭气体，风机及</w:t>
            </w:r>
            <w:r>
              <w:rPr>
                <w:rFonts w:hint="eastAsia" w:cs="Times New Roman"/>
                <w:sz w:val="24"/>
                <w:szCs w:val="24"/>
                <w:u w:val="single"/>
                <w:lang w:eastAsia="zh-CN"/>
              </w:rPr>
              <w:t>除尘除臭系统</w:t>
            </w:r>
            <w:r>
              <w:rPr>
                <w:rFonts w:hint="default" w:ascii="Times New Roman" w:hAnsi="Times New Roman" w:eastAsia="宋体" w:cs="Times New Roman"/>
                <w:sz w:val="24"/>
                <w:szCs w:val="24"/>
                <w:u w:val="single"/>
              </w:rPr>
              <w:t>在垃圾清运后继续0.5h抽吸车间废气，即每天运行</w:t>
            </w:r>
            <w:r>
              <w:rPr>
                <w:rFonts w:hint="eastAsia" w:cs="Times New Roman"/>
                <w:sz w:val="24"/>
                <w:szCs w:val="24"/>
                <w:u w:val="single"/>
                <w:lang w:val="en-US" w:eastAsia="zh-CN"/>
              </w:rPr>
              <w:t>4</w:t>
            </w:r>
            <w:r>
              <w:rPr>
                <w:rFonts w:hint="default" w:ascii="Times New Roman" w:hAnsi="Times New Roman" w:eastAsia="宋体" w:cs="Times New Roman"/>
                <w:sz w:val="24"/>
                <w:szCs w:val="24"/>
                <w:u w:val="single"/>
              </w:rPr>
              <w:t>h</w:t>
            </w:r>
            <w:r>
              <w:rPr>
                <w:rFonts w:hint="default"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u w:val="single"/>
                <w:lang w:val="en-US" w:eastAsia="zh-CN"/>
              </w:rPr>
              <w:t>按</w:t>
            </w:r>
            <w:r>
              <w:rPr>
                <w:rFonts w:hint="eastAsia" w:cs="Times New Roman"/>
                <w:sz w:val="24"/>
                <w:szCs w:val="24"/>
                <w:u w:val="single"/>
                <w:lang w:val="en-US" w:eastAsia="zh-CN"/>
              </w:rPr>
              <w:t>4.5</w:t>
            </w:r>
            <w:r>
              <w:rPr>
                <w:rFonts w:hint="default" w:ascii="Times New Roman" w:hAnsi="Times New Roman" w:eastAsia="宋体" w:cs="Times New Roman"/>
                <w:sz w:val="24"/>
                <w:szCs w:val="24"/>
                <w:u w:val="single"/>
                <w:lang w:val="en-US" w:eastAsia="zh-CN"/>
              </w:rPr>
              <w:t>h计</w:t>
            </w:r>
            <w:r>
              <w:rPr>
                <w:rFonts w:hint="default"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u w:val="single"/>
              </w:rPr>
              <w:t>则项目恶臭气体产排情况见下表。</w:t>
            </w:r>
          </w:p>
          <w:p>
            <w:pPr>
              <w:pStyle w:val="2"/>
              <w:pageBreakBefore w:val="0"/>
              <w:kinsoku/>
              <w:overflowPunct/>
              <w:bidi w:val="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表</w:t>
            </w:r>
            <w:r>
              <w:rPr>
                <w:rFonts w:hint="eastAsia" w:ascii="Times New Roman" w:hAnsi="Times New Roman" w:cs="Times New Roman"/>
                <w:b/>
                <w:bCs/>
                <w:sz w:val="21"/>
                <w:szCs w:val="21"/>
                <w:u w:val="single"/>
                <w:lang w:val="en-US" w:eastAsia="zh-CN"/>
              </w:rPr>
              <w:t>4.2</w:t>
            </w:r>
            <w:r>
              <w:rPr>
                <w:rFonts w:hint="default" w:ascii="Times New Roman" w:hAnsi="Times New Roman" w:eastAsia="宋体" w:cs="Times New Roman"/>
                <w:b/>
                <w:bCs/>
                <w:sz w:val="21"/>
                <w:szCs w:val="21"/>
                <w:u w:val="single"/>
                <w:lang w:val="en-US" w:eastAsia="zh-CN"/>
              </w:rPr>
              <w:t>-3 污染源强产生量一览表</w:t>
            </w:r>
          </w:p>
          <w:tbl>
            <w:tblPr>
              <w:tblStyle w:val="3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114"/>
              <w:gridCol w:w="1816"/>
              <w:gridCol w:w="1041"/>
              <w:gridCol w:w="162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65" w:type="pct"/>
                  <w:vMerge w:val="restart"/>
                  <w:noWrap w:val="0"/>
                  <w:vAlign w:val="center"/>
                </w:tcPr>
                <w:p>
                  <w:pPr>
                    <w:pStyle w:val="38"/>
                    <w:bidi w:val="0"/>
                    <w:rPr>
                      <w:rFonts w:hint="default" w:ascii="Times New Roman" w:hAnsi="Times New Roman" w:cs="Times New Roman"/>
                      <w:b/>
                      <w:bCs/>
                      <w:sz w:val="21"/>
                      <w:szCs w:val="21"/>
                      <w:u w:val="single"/>
                      <w:lang w:val="en-US" w:eastAsia="zh-CN"/>
                    </w:rPr>
                  </w:pPr>
                  <w:r>
                    <w:rPr>
                      <w:rFonts w:hint="default" w:ascii="Times New Roman" w:hAnsi="Times New Roman" w:cs="Times New Roman"/>
                      <w:b/>
                      <w:bCs/>
                      <w:sz w:val="21"/>
                      <w:szCs w:val="21"/>
                      <w:u w:val="single"/>
                      <w:lang w:val="en-US" w:eastAsia="zh-CN"/>
                    </w:rPr>
                    <w:t>序号</w:t>
                  </w:r>
                </w:p>
              </w:tc>
              <w:tc>
                <w:tcPr>
                  <w:tcW w:w="1224" w:type="pct"/>
                  <w:vMerge w:val="restart"/>
                  <w:noWrap w:val="0"/>
                  <w:vAlign w:val="center"/>
                </w:tcPr>
                <w:p>
                  <w:pPr>
                    <w:pStyle w:val="38"/>
                    <w:bidi w:val="0"/>
                    <w:rPr>
                      <w:rFonts w:hint="default" w:ascii="Times New Roman" w:hAnsi="Times New Roman" w:cs="Times New Roman"/>
                      <w:b/>
                      <w:bCs/>
                      <w:sz w:val="21"/>
                      <w:szCs w:val="21"/>
                      <w:u w:val="single"/>
                      <w:lang w:val="en-US" w:eastAsia="zh-CN"/>
                    </w:rPr>
                  </w:pPr>
                  <w:r>
                    <w:rPr>
                      <w:rFonts w:hint="default" w:ascii="Times New Roman" w:hAnsi="Times New Roman" w:cs="Times New Roman"/>
                      <w:b/>
                      <w:bCs/>
                      <w:sz w:val="21"/>
                      <w:szCs w:val="21"/>
                      <w:u w:val="single"/>
                      <w:lang w:val="en-US" w:eastAsia="zh-CN"/>
                    </w:rPr>
                    <w:t>转运量（t/</w:t>
                  </w:r>
                  <w:r>
                    <w:rPr>
                      <w:rFonts w:hint="eastAsia" w:cs="Times New Roman"/>
                      <w:b/>
                      <w:bCs/>
                      <w:sz w:val="21"/>
                      <w:szCs w:val="21"/>
                      <w:u w:val="single"/>
                      <w:lang w:val="en-US" w:eastAsia="zh-CN"/>
                    </w:rPr>
                    <w:t>d</w:t>
                  </w:r>
                  <w:r>
                    <w:rPr>
                      <w:rFonts w:hint="default" w:ascii="Times New Roman" w:hAnsi="Times New Roman" w:cs="Times New Roman"/>
                      <w:b/>
                      <w:bCs/>
                      <w:sz w:val="21"/>
                      <w:szCs w:val="21"/>
                      <w:u w:val="single"/>
                      <w:lang w:val="en-US" w:eastAsia="zh-CN"/>
                    </w:rPr>
                    <w:t>）</w:t>
                  </w:r>
                </w:p>
              </w:tc>
              <w:tc>
                <w:tcPr>
                  <w:tcW w:w="1655" w:type="pct"/>
                  <w:gridSpan w:val="2"/>
                  <w:noWrap w:val="0"/>
                  <w:vAlign w:val="center"/>
                </w:tcPr>
                <w:p>
                  <w:pPr>
                    <w:pStyle w:val="38"/>
                    <w:bidi w:val="0"/>
                    <w:rPr>
                      <w:rFonts w:hint="default" w:ascii="Times New Roman" w:hAnsi="Times New Roman" w:cs="Times New Roman"/>
                      <w:b/>
                      <w:bCs/>
                      <w:sz w:val="21"/>
                      <w:szCs w:val="21"/>
                      <w:u w:val="single"/>
                      <w:lang w:val="en-US" w:eastAsia="zh-CN"/>
                    </w:rPr>
                  </w:pPr>
                  <w:r>
                    <w:rPr>
                      <w:rFonts w:hint="default" w:ascii="Times New Roman" w:hAnsi="Times New Roman" w:eastAsia="宋体" w:cs="Times New Roman"/>
                      <w:b/>
                      <w:bCs/>
                      <w:sz w:val="21"/>
                      <w:szCs w:val="21"/>
                      <w:u w:val="single"/>
                    </w:rPr>
                    <w:t>NH</w:t>
                  </w:r>
                  <w:r>
                    <w:rPr>
                      <w:rFonts w:hint="default" w:ascii="Times New Roman" w:hAnsi="Times New Roman" w:eastAsia="宋体" w:cs="Times New Roman"/>
                      <w:b/>
                      <w:bCs/>
                      <w:sz w:val="21"/>
                      <w:szCs w:val="21"/>
                      <w:u w:val="single"/>
                      <w:vertAlign w:val="subscript"/>
                    </w:rPr>
                    <w:t>3</w:t>
                  </w:r>
                  <w:r>
                    <w:rPr>
                      <w:rFonts w:hint="default" w:ascii="Times New Roman" w:hAnsi="Times New Roman" w:cs="Times New Roman"/>
                      <w:b/>
                      <w:bCs/>
                      <w:sz w:val="21"/>
                      <w:szCs w:val="21"/>
                      <w:u w:val="single"/>
                      <w:lang w:val="en-US" w:eastAsia="zh-CN"/>
                    </w:rPr>
                    <w:t>产生量</w:t>
                  </w:r>
                </w:p>
              </w:tc>
              <w:tc>
                <w:tcPr>
                  <w:tcW w:w="1654" w:type="pct"/>
                  <w:gridSpan w:val="2"/>
                  <w:noWrap w:val="0"/>
                  <w:vAlign w:val="center"/>
                </w:tcPr>
                <w:p>
                  <w:pPr>
                    <w:pStyle w:val="38"/>
                    <w:bidi w:val="0"/>
                    <w:rPr>
                      <w:rFonts w:hint="default" w:ascii="Times New Roman" w:hAnsi="Times New Roman" w:cs="Times New Roman"/>
                      <w:b/>
                      <w:bCs/>
                      <w:sz w:val="21"/>
                      <w:szCs w:val="21"/>
                      <w:u w:val="single"/>
                      <w:lang w:val="en-US" w:eastAsia="zh-CN"/>
                    </w:rPr>
                  </w:pPr>
                  <w:r>
                    <w:rPr>
                      <w:rFonts w:hint="default" w:ascii="Times New Roman" w:hAnsi="Times New Roman" w:eastAsia="宋体" w:cs="Times New Roman"/>
                      <w:b/>
                      <w:bCs/>
                      <w:sz w:val="21"/>
                      <w:szCs w:val="21"/>
                      <w:u w:val="single"/>
                    </w:rPr>
                    <w:t>H</w:t>
                  </w:r>
                  <w:r>
                    <w:rPr>
                      <w:rFonts w:hint="default" w:ascii="Times New Roman" w:hAnsi="Times New Roman" w:eastAsia="宋体" w:cs="Times New Roman"/>
                      <w:b/>
                      <w:bCs/>
                      <w:sz w:val="21"/>
                      <w:szCs w:val="21"/>
                      <w:u w:val="single"/>
                      <w:vertAlign w:val="subscript"/>
                    </w:rPr>
                    <w:t>2</w:t>
                  </w:r>
                  <w:r>
                    <w:rPr>
                      <w:rFonts w:hint="default" w:ascii="Times New Roman" w:hAnsi="Times New Roman" w:eastAsia="宋体" w:cs="Times New Roman"/>
                      <w:b/>
                      <w:bCs/>
                      <w:sz w:val="21"/>
                      <w:szCs w:val="21"/>
                      <w:u w:val="single"/>
                    </w:rPr>
                    <w:t>S</w:t>
                  </w:r>
                  <w:r>
                    <w:rPr>
                      <w:rFonts w:hint="default" w:ascii="Times New Roman" w:hAnsi="Times New Roman" w:cs="Times New Roman"/>
                      <w:b/>
                      <w:bCs/>
                      <w:sz w:val="21"/>
                      <w:szCs w:val="21"/>
                      <w:u w:val="single"/>
                      <w:lang w:val="en-US" w:eastAsia="zh-CN"/>
                    </w:rPr>
                    <w:t>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Merge w:val="continue"/>
                  <w:noWrap w:val="0"/>
                  <w:vAlign w:val="center"/>
                </w:tcPr>
                <w:p>
                  <w:pPr>
                    <w:pStyle w:val="38"/>
                    <w:bidi w:val="0"/>
                    <w:rPr>
                      <w:rFonts w:hint="default" w:ascii="Times New Roman" w:hAnsi="Times New Roman" w:cs="Times New Roman"/>
                      <w:b/>
                      <w:bCs/>
                      <w:sz w:val="21"/>
                      <w:szCs w:val="21"/>
                      <w:u w:val="single"/>
                      <w:lang w:val="en-US" w:eastAsia="zh-CN"/>
                    </w:rPr>
                  </w:pPr>
                </w:p>
              </w:tc>
              <w:tc>
                <w:tcPr>
                  <w:tcW w:w="1224" w:type="pct"/>
                  <w:vMerge w:val="continue"/>
                  <w:noWrap w:val="0"/>
                  <w:vAlign w:val="center"/>
                </w:tcPr>
                <w:p>
                  <w:pPr>
                    <w:pStyle w:val="38"/>
                    <w:bidi w:val="0"/>
                    <w:rPr>
                      <w:rFonts w:hint="default" w:ascii="Times New Roman" w:hAnsi="Times New Roman" w:cs="Times New Roman"/>
                      <w:b/>
                      <w:bCs/>
                      <w:sz w:val="21"/>
                      <w:szCs w:val="21"/>
                      <w:u w:val="single"/>
                      <w:lang w:val="en-US" w:eastAsia="zh-CN"/>
                    </w:rPr>
                  </w:pPr>
                </w:p>
              </w:tc>
              <w:tc>
                <w:tcPr>
                  <w:tcW w:w="1052" w:type="pct"/>
                  <w:noWrap w:val="0"/>
                  <w:vAlign w:val="center"/>
                </w:tcPr>
                <w:p>
                  <w:pPr>
                    <w:pStyle w:val="38"/>
                    <w:bidi w:val="0"/>
                    <w:rPr>
                      <w:rFonts w:hint="default" w:ascii="Times New Roman" w:hAnsi="Times New Roman" w:cs="Times New Roman"/>
                      <w:b/>
                      <w:bCs/>
                      <w:sz w:val="21"/>
                      <w:szCs w:val="21"/>
                      <w:u w:val="single"/>
                      <w:lang w:val="en-US" w:eastAsia="zh-CN"/>
                    </w:rPr>
                  </w:pPr>
                  <w:r>
                    <w:rPr>
                      <w:rFonts w:hint="default" w:ascii="Times New Roman" w:hAnsi="Times New Roman" w:cs="Times New Roman"/>
                      <w:b/>
                      <w:bCs/>
                      <w:sz w:val="21"/>
                      <w:szCs w:val="21"/>
                      <w:u w:val="single"/>
                      <w:lang w:val="en-US" w:eastAsia="zh-CN"/>
                    </w:rPr>
                    <w:t>kg/d</w:t>
                  </w:r>
                </w:p>
              </w:tc>
              <w:tc>
                <w:tcPr>
                  <w:tcW w:w="603" w:type="pct"/>
                  <w:noWrap w:val="0"/>
                  <w:vAlign w:val="center"/>
                </w:tcPr>
                <w:p>
                  <w:pPr>
                    <w:pStyle w:val="38"/>
                    <w:bidi w:val="0"/>
                    <w:rPr>
                      <w:rFonts w:hint="default" w:ascii="Times New Roman" w:hAnsi="Times New Roman" w:cs="Times New Roman"/>
                      <w:b/>
                      <w:bCs/>
                      <w:sz w:val="21"/>
                      <w:szCs w:val="21"/>
                      <w:u w:val="single"/>
                      <w:lang w:val="en-US" w:eastAsia="zh-CN"/>
                    </w:rPr>
                  </w:pPr>
                  <w:r>
                    <w:rPr>
                      <w:rFonts w:hint="default" w:ascii="Times New Roman" w:hAnsi="Times New Roman" w:cs="Times New Roman"/>
                      <w:b/>
                      <w:bCs/>
                      <w:sz w:val="21"/>
                      <w:szCs w:val="21"/>
                      <w:u w:val="single"/>
                      <w:lang w:val="en-US" w:eastAsia="zh-CN"/>
                    </w:rPr>
                    <w:t>kg/a</w:t>
                  </w:r>
                </w:p>
              </w:tc>
              <w:tc>
                <w:tcPr>
                  <w:tcW w:w="942" w:type="pct"/>
                  <w:noWrap w:val="0"/>
                  <w:vAlign w:val="center"/>
                </w:tcPr>
                <w:p>
                  <w:pPr>
                    <w:pStyle w:val="38"/>
                    <w:bidi w:val="0"/>
                    <w:ind w:left="0" w:leftChars="0" w:right="0" w:rightChars="0" w:firstLine="0" w:firstLineChars="0"/>
                    <w:rPr>
                      <w:rFonts w:hint="default" w:ascii="Times New Roman" w:hAnsi="Times New Roman" w:cs="Times New Roman"/>
                      <w:b/>
                      <w:bCs/>
                      <w:sz w:val="21"/>
                      <w:szCs w:val="21"/>
                      <w:u w:val="single"/>
                      <w:lang w:val="en-US" w:eastAsia="zh-CN"/>
                    </w:rPr>
                  </w:pPr>
                  <w:r>
                    <w:rPr>
                      <w:rFonts w:hint="default" w:ascii="Times New Roman" w:hAnsi="Times New Roman" w:cs="Times New Roman"/>
                      <w:b/>
                      <w:bCs/>
                      <w:sz w:val="21"/>
                      <w:szCs w:val="21"/>
                      <w:u w:val="single"/>
                      <w:lang w:val="en-US" w:eastAsia="zh-CN"/>
                    </w:rPr>
                    <w:t>kg/d</w:t>
                  </w:r>
                </w:p>
              </w:tc>
              <w:tc>
                <w:tcPr>
                  <w:tcW w:w="711" w:type="pct"/>
                  <w:noWrap w:val="0"/>
                  <w:vAlign w:val="center"/>
                </w:tcPr>
                <w:p>
                  <w:pPr>
                    <w:pStyle w:val="38"/>
                    <w:bidi w:val="0"/>
                    <w:ind w:left="0" w:leftChars="0" w:right="0" w:rightChars="0" w:firstLine="0" w:firstLineChars="0"/>
                    <w:rPr>
                      <w:rFonts w:hint="default" w:ascii="Times New Roman" w:hAnsi="Times New Roman" w:cs="Times New Roman"/>
                      <w:b/>
                      <w:bCs/>
                      <w:sz w:val="21"/>
                      <w:szCs w:val="21"/>
                      <w:u w:val="single"/>
                      <w:lang w:val="en-US" w:eastAsia="zh-CN"/>
                    </w:rPr>
                  </w:pPr>
                  <w:r>
                    <w:rPr>
                      <w:rFonts w:hint="default" w:ascii="Times New Roman" w:hAnsi="Times New Roman" w:cs="Times New Roman"/>
                      <w:b/>
                      <w:bCs/>
                      <w:sz w:val="21"/>
                      <w:szCs w:val="21"/>
                      <w:u w:val="single"/>
                      <w:lang w:val="en-US" w:eastAsia="zh-CN"/>
                    </w:rPr>
                    <w:t>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65" w:type="pct"/>
                  <w:noWrap w:val="0"/>
                  <w:vAlign w:val="center"/>
                </w:tcPr>
                <w:p>
                  <w:pPr>
                    <w:pStyle w:val="38"/>
                    <w:bidi w:val="0"/>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1</w:t>
                  </w:r>
                </w:p>
              </w:tc>
              <w:tc>
                <w:tcPr>
                  <w:tcW w:w="1224"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lang w:val="en-US"/>
                    </w:rPr>
                  </w:pPr>
                  <w:r>
                    <w:rPr>
                      <w:rFonts w:hint="eastAsia" w:cs="Times New Roman"/>
                      <w:sz w:val="21"/>
                      <w:szCs w:val="21"/>
                      <w:u w:val="single"/>
                      <w:lang w:val="en-US" w:eastAsia="zh-CN"/>
                    </w:rPr>
                    <w:t>400</w:t>
                  </w:r>
                </w:p>
              </w:tc>
              <w:tc>
                <w:tcPr>
                  <w:tcW w:w="1052"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lang w:val="en-US" w:eastAsia="zh-CN"/>
                    </w:rPr>
                  </w:pPr>
                  <w:r>
                    <w:rPr>
                      <w:rFonts w:hint="eastAsia" w:cs="Times New Roman"/>
                      <w:sz w:val="21"/>
                      <w:szCs w:val="21"/>
                      <w:u w:val="single"/>
                      <w:lang w:val="en-US" w:eastAsia="zh-CN"/>
                    </w:rPr>
                    <w:t>0.024</w:t>
                  </w:r>
                </w:p>
              </w:tc>
              <w:tc>
                <w:tcPr>
                  <w:tcW w:w="603"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lang w:val="en-US" w:eastAsia="zh-CN"/>
                    </w:rPr>
                  </w:pPr>
                  <w:r>
                    <w:rPr>
                      <w:rFonts w:hint="eastAsia" w:cs="Times New Roman"/>
                      <w:sz w:val="21"/>
                      <w:szCs w:val="21"/>
                      <w:u w:val="single"/>
                      <w:lang w:val="en-US" w:eastAsia="zh-CN"/>
                    </w:rPr>
                    <w:t>8.760</w:t>
                  </w:r>
                </w:p>
              </w:tc>
              <w:tc>
                <w:tcPr>
                  <w:tcW w:w="942"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lang w:val="en-US" w:eastAsia="zh-CN"/>
                    </w:rPr>
                  </w:pPr>
                  <w:r>
                    <w:rPr>
                      <w:rFonts w:hint="eastAsia" w:cs="Times New Roman"/>
                      <w:sz w:val="21"/>
                      <w:szCs w:val="21"/>
                      <w:u w:val="single"/>
                      <w:lang w:val="en-US" w:eastAsia="zh-CN"/>
                    </w:rPr>
                    <w:t>0.002</w:t>
                  </w:r>
                </w:p>
              </w:tc>
              <w:tc>
                <w:tcPr>
                  <w:tcW w:w="711"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lang w:val="en-US" w:eastAsia="zh-CN"/>
                    </w:rPr>
                  </w:pPr>
                  <w:r>
                    <w:rPr>
                      <w:rFonts w:hint="eastAsia" w:cs="Times New Roman"/>
                      <w:sz w:val="21"/>
                      <w:szCs w:val="21"/>
                      <w:u w:val="single"/>
                      <w:lang w:val="en-US" w:eastAsia="zh-CN"/>
                    </w:rPr>
                    <w:t>0.730</w:t>
                  </w:r>
                </w:p>
              </w:tc>
            </w:tr>
          </w:tbl>
          <w:p>
            <w:pPr>
              <w:pStyle w:val="66"/>
              <w:pageBreakBefore w:val="0"/>
              <w:kinsoku/>
              <w:overflowPunct/>
              <w:bidi w:val="0"/>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表</w:t>
            </w:r>
            <w:r>
              <w:rPr>
                <w:rFonts w:hint="eastAsia" w:cs="Times New Roman"/>
                <w:b/>
                <w:bCs/>
                <w:sz w:val="21"/>
                <w:szCs w:val="21"/>
                <w:u w:val="single"/>
                <w:lang w:val="en-US" w:eastAsia="zh-CN"/>
              </w:rPr>
              <w:t>4.2</w:t>
            </w:r>
            <w:r>
              <w:rPr>
                <w:rFonts w:hint="default" w:ascii="Times New Roman" w:hAnsi="Times New Roman" w:eastAsia="宋体" w:cs="Times New Roman"/>
                <w:b/>
                <w:bCs/>
                <w:sz w:val="21"/>
                <w:szCs w:val="21"/>
                <w:u w:val="single"/>
                <w:lang w:val="en-US" w:eastAsia="zh-CN"/>
              </w:rPr>
              <w:t>-4 恶臭气体污染源强</w:t>
            </w:r>
          </w:p>
          <w:tbl>
            <w:tblPr>
              <w:tblStyle w:val="31"/>
              <w:tblW w:w="4941"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749"/>
              <w:gridCol w:w="1518"/>
              <w:gridCol w:w="1468"/>
              <w:gridCol w:w="1609"/>
              <w:gridCol w:w="14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1439" w:type="pct"/>
                  <w:gridSpan w:val="2"/>
                  <w:noWrap w:val="0"/>
                  <w:vAlign w:val="center"/>
                </w:tcPr>
                <w:p>
                  <w:pPr>
                    <w:pStyle w:val="38"/>
                    <w:bidi w:val="0"/>
                    <w:rPr>
                      <w:rFonts w:hint="default" w:ascii="Times New Roman" w:hAnsi="Times New Roman" w:eastAsia="宋体" w:cs="Times New Roman"/>
                      <w:b/>
                      <w:bCs/>
                      <w:i w:val="0"/>
                      <w:iCs w:val="0"/>
                      <w:sz w:val="21"/>
                      <w:szCs w:val="21"/>
                      <w:u w:val="single"/>
                      <w:lang w:eastAsia="zh-CN"/>
                    </w:rPr>
                  </w:pPr>
                  <w:r>
                    <w:rPr>
                      <w:rFonts w:hint="default" w:ascii="Times New Roman" w:hAnsi="Times New Roman" w:cs="Times New Roman"/>
                      <w:b/>
                      <w:bCs/>
                      <w:i w:val="0"/>
                      <w:iCs w:val="0"/>
                      <w:sz w:val="21"/>
                      <w:szCs w:val="21"/>
                      <w:u w:val="single"/>
                      <w:lang w:val="en-US" w:eastAsia="zh-CN"/>
                    </w:rPr>
                    <w:t>污染物</w:t>
                  </w:r>
                </w:p>
              </w:tc>
              <w:tc>
                <w:tcPr>
                  <w:tcW w:w="888" w:type="pct"/>
                  <w:noWrap w:val="0"/>
                  <w:vAlign w:val="center"/>
                </w:tcPr>
                <w:p>
                  <w:pPr>
                    <w:pStyle w:val="38"/>
                    <w:bidi w:val="0"/>
                    <w:rPr>
                      <w:rFonts w:hint="eastAsia" w:ascii="Times New Roman" w:hAnsi="Times New Roman" w:eastAsia="宋体" w:cs="Times New Roman"/>
                      <w:b/>
                      <w:bCs/>
                      <w:i w:val="0"/>
                      <w:iCs w:val="0"/>
                      <w:sz w:val="21"/>
                      <w:szCs w:val="21"/>
                      <w:u w:val="single"/>
                      <w:lang w:eastAsia="zh-CN"/>
                    </w:rPr>
                  </w:pPr>
                  <w:r>
                    <w:rPr>
                      <w:rFonts w:hint="eastAsia" w:cs="Times New Roman"/>
                      <w:b/>
                      <w:bCs/>
                      <w:i w:val="0"/>
                      <w:iCs w:val="0"/>
                      <w:sz w:val="21"/>
                      <w:szCs w:val="21"/>
                      <w:u w:val="single"/>
                      <w:lang w:eastAsia="zh-CN"/>
                    </w:rPr>
                    <w:t>排放口编号</w:t>
                  </w:r>
                </w:p>
              </w:tc>
              <w:tc>
                <w:tcPr>
                  <w:tcW w:w="859" w:type="pct"/>
                  <w:noWrap w:val="0"/>
                  <w:vAlign w:val="center"/>
                </w:tcPr>
                <w:p>
                  <w:pPr>
                    <w:pStyle w:val="38"/>
                    <w:bidi w:val="0"/>
                    <w:rPr>
                      <w:rFonts w:hint="default" w:ascii="Times New Roman" w:hAnsi="Times New Roman" w:cs="Times New Roman"/>
                      <w:b/>
                      <w:bCs/>
                      <w:i w:val="0"/>
                      <w:iCs w:val="0"/>
                      <w:sz w:val="21"/>
                      <w:szCs w:val="21"/>
                      <w:u w:val="single"/>
                    </w:rPr>
                  </w:pPr>
                  <w:r>
                    <w:rPr>
                      <w:rFonts w:hint="default" w:ascii="Times New Roman" w:hAnsi="Times New Roman" w:cs="Times New Roman"/>
                      <w:b/>
                      <w:bCs/>
                      <w:i w:val="0"/>
                      <w:iCs w:val="0"/>
                      <w:sz w:val="21"/>
                      <w:szCs w:val="21"/>
                      <w:u w:val="single"/>
                    </w:rPr>
                    <w:t>产生量</w:t>
                  </w:r>
                </w:p>
              </w:tc>
              <w:tc>
                <w:tcPr>
                  <w:tcW w:w="942" w:type="pct"/>
                  <w:noWrap w:val="0"/>
                  <w:vAlign w:val="center"/>
                </w:tcPr>
                <w:p>
                  <w:pPr>
                    <w:pStyle w:val="38"/>
                    <w:bidi w:val="0"/>
                    <w:rPr>
                      <w:rFonts w:hint="default" w:ascii="Times New Roman" w:hAnsi="Times New Roman" w:cs="Times New Roman"/>
                      <w:b/>
                      <w:bCs/>
                      <w:i w:val="0"/>
                      <w:iCs w:val="0"/>
                      <w:sz w:val="21"/>
                      <w:szCs w:val="21"/>
                      <w:u w:val="single"/>
                    </w:rPr>
                  </w:pPr>
                  <w:r>
                    <w:rPr>
                      <w:rFonts w:hint="default" w:ascii="Times New Roman" w:hAnsi="Times New Roman" w:cs="Times New Roman"/>
                      <w:b/>
                      <w:bCs/>
                      <w:i w:val="0"/>
                      <w:iCs w:val="0"/>
                      <w:sz w:val="21"/>
                      <w:szCs w:val="21"/>
                      <w:u w:val="single"/>
                    </w:rPr>
                    <w:t>产生速率</w:t>
                  </w:r>
                </w:p>
              </w:tc>
              <w:tc>
                <w:tcPr>
                  <w:tcW w:w="869" w:type="pct"/>
                  <w:noWrap w:val="0"/>
                  <w:vAlign w:val="center"/>
                </w:tcPr>
                <w:p>
                  <w:pPr>
                    <w:pStyle w:val="38"/>
                    <w:bidi w:val="0"/>
                    <w:rPr>
                      <w:rFonts w:hint="default" w:ascii="Times New Roman" w:hAnsi="Times New Roman" w:cs="Times New Roman"/>
                      <w:b/>
                      <w:bCs/>
                      <w:i w:val="0"/>
                      <w:iCs w:val="0"/>
                      <w:sz w:val="21"/>
                      <w:szCs w:val="21"/>
                      <w:u w:val="single"/>
                    </w:rPr>
                  </w:pPr>
                  <w:r>
                    <w:rPr>
                      <w:rFonts w:hint="default" w:ascii="Times New Roman" w:hAnsi="Times New Roman" w:cs="Times New Roman"/>
                      <w:b/>
                      <w:bCs/>
                      <w:i w:val="0"/>
                      <w:iCs w:val="0"/>
                      <w:sz w:val="21"/>
                      <w:szCs w:val="21"/>
                      <w:u w:val="single"/>
                    </w:rPr>
                    <w:t>产生浓度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415" w:type="pct"/>
                  <w:vMerge w:val="restart"/>
                  <w:noWrap w:val="0"/>
                  <w:vAlign w:val="center"/>
                </w:tcPr>
                <w:p>
                  <w:pPr>
                    <w:pStyle w:val="38"/>
                    <w:bidi w:val="0"/>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sz w:val="21"/>
                      <w:szCs w:val="21"/>
                      <w:u w:val="single"/>
                    </w:rPr>
                    <w:t>NH</w:t>
                  </w:r>
                  <w:r>
                    <w:rPr>
                      <w:rFonts w:hint="default" w:ascii="Times New Roman" w:hAnsi="Times New Roman" w:eastAsia="宋体" w:cs="Times New Roman"/>
                      <w:sz w:val="21"/>
                      <w:szCs w:val="21"/>
                      <w:u w:val="single"/>
                      <w:vertAlign w:val="subscript"/>
                    </w:rPr>
                    <w:t>3</w:t>
                  </w:r>
                </w:p>
              </w:tc>
              <w:tc>
                <w:tcPr>
                  <w:tcW w:w="1024"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rPr>
                  </w:pPr>
                  <w:r>
                    <w:rPr>
                      <w:rFonts w:hint="default" w:ascii="Times New Roman" w:hAnsi="Times New Roman" w:cs="Times New Roman"/>
                      <w:sz w:val="21"/>
                      <w:szCs w:val="21"/>
                      <w:u w:val="single"/>
                    </w:rPr>
                    <w:t>收集（90%）</w:t>
                  </w:r>
                </w:p>
              </w:tc>
              <w:tc>
                <w:tcPr>
                  <w:tcW w:w="888" w:type="pct"/>
                  <w:noWrap w:val="0"/>
                  <w:vAlign w:val="center"/>
                </w:tcPr>
                <w:p>
                  <w:pPr>
                    <w:pStyle w:val="38"/>
                    <w:bidi w:val="0"/>
                    <w:ind w:left="0" w:leftChars="0" w:right="0" w:rightChars="0" w:firstLine="0" w:firstLineChars="0"/>
                    <w:rPr>
                      <w:rFonts w:hint="default" w:cs="Times New Roman"/>
                      <w:sz w:val="21"/>
                      <w:szCs w:val="21"/>
                      <w:u w:val="single"/>
                      <w:lang w:val="en-US" w:eastAsia="zh-CN"/>
                    </w:rPr>
                  </w:pPr>
                  <w:r>
                    <w:rPr>
                      <w:rFonts w:hint="eastAsia" w:cs="Times New Roman"/>
                      <w:sz w:val="21"/>
                      <w:szCs w:val="21"/>
                      <w:u w:val="single"/>
                      <w:lang w:val="en-US" w:eastAsia="zh-CN"/>
                    </w:rPr>
                    <w:t>DA001</w:t>
                  </w:r>
                </w:p>
              </w:tc>
              <w:tc>
                <w:tcPr>
                  <w:tcW w:w="859"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rPr>
                  </w:pPr>
                  <w:r>
                    <w:rPr>
                      <w:rFonts w:hint="eastAsia" w:cs="Times New Roman"/>
                      <w:sz w:val="21"/>
                      <w:szCs w:val="21"/>
                      <w:u w:val="single"/>
                      <w:lang w:val="en-US" w:eastAsia="zh-CN"/>
                    </w:rPr>
                    <w:t>7.884</w:t>
                  </w:r>
                  <w:r>
                    <w:rPr>
                      <w:rFonts w:hint="default" w:ascii="Times New Roman" w:hAnsi="Times New Roman" w:cs="Times New Roman"/>
                      <w:sz w:val="21"/>
                      <w:szCs w:val="21"/>
                      <w:u w:val="single"/>
                    </w:rPr>
                    <w:t>kg/a</w:t>
                  </w:r>
                </w:p>
              </w:tc>
              <w:tc>
                <w:tcPr>
                  <w:tcW w:w="942"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rPr>
                  </w:pPr>
                  <w:r>
                    <w:rPr>
                      <w:rFonts w:hint="eastAsia" w:cs="Times New Roman"/>
                      <w:sz w:val="21"/>
                      <w:szCs w:val="21"/>
                      <w:u w:val="single"/>
                      <w:lang w:val="en-US" w:eastAsia="zh-CN"/>
                    </w:rPr>
                    <w:t>0.005</w:t>
                  </w:r>
                  <w:r>
                    <w:rPr>
                      <w:rFonts w:hint="default" w:ascii="Times New Roman" w:hAnsi="Times New Roman" w:cs="Times New Roman"/>
                      <w:sz w:val="21"/>
                      <w:szCs w:val="21"/>
                      <w:u w:val="single"/>
                    </w:rPr>
                    <w:t>kg/h</w:t>
                  </w:r>
                </w:p>
              </w:tc>
              <w:tc>
                <w:tcPr>
                  <w:tcW w:w="869"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rPr>
                  </w:pPr>
                  <w:r>
                    <w:rPr>
                      <w:rFonts w:hint="eastAsia" w:cs="Times New Roman"/>
                      <w:sz w:val="21"/>
                      <w:szCs w:val="21"/>
                      <w:u w:val="single"/>
                      <w:lang w:val="en-US" w:eastAsia="zh-CN"/>
                    </w:rPr>
                    <w:t>0.083</w:t>
                  </w:r>
                  <w:r>
                    <w:rPr>
                      <w:rFonts w:hint="default" w:ascii="Times New Roman" w:hAnsi="Times New Roman" w:cs="Times New Roman"/>
                      <w:sz w:val="21"/>
                      <w:szCs w:val="21"/>
                      <w:u w:val="single"/>
                    </w:rPr>
                    <w:t>mg/m³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415" w:type="pct"/>
                  <w:vMerge w:val="continue"/>
                  <w:noWrap w:val="0"/>
                  <w:vAlign w:val="center"/>
                </w:tcPr>
                <w:p>
                  <w:pPr>
                    <w:pStyle w:val="38"/>
                    <w:bidi w:val="0"/>
                    <w:rPr>
                      <w:rFonts w:hint="default" w:ascii="Times New Roman" w:hAnsi="Times New Roman" w:cs="Times New Roman"/>
                      <w:sz w:val="21"/>
                      <w:szCs w:val="21"/>
                      <w:u w:val="single"/>
                    </w:rPr>
                  </w:pPr>
                </w:p>
              </w:tc>
              <w:tc>
                <w:tcPr>
                  <w:tcW w:w="1024"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rPr>
                  </w:pPr>
                  <w:r>
                    <w:rPr>
                      <w:rFonts w:hint="default" w:ascii="Times New Roman" w:hAnsi="Times New Roman" w:cs="Times New Roman"/>
                      <w:sz w:val="21"/>
                      <w:szCs w:val="21"/>
                      <w:u w:val="single"/>
                    </w:rPr>
                    <w:t>无组织（10%）</w:t>
                  </w:r>
                </w:p>
              </w:tc>
              <w:tc>
                <w:tcPr>
                  <w:tcW w:w="888" w:type="pct"/>
                  <w:noWrap w:val="0"/>
                  <w:vAlign w:val="center"/>
                </w:tcPr>
                <w:p>
                  <w:pPr>
                    <w:pStyle w:val="38"/>
                    <w:bidi w:val="0"/>
                    <w:ind w:left="0" w:leftChars="0" w:right="0" w:rightChars="0" w:firstLine="0" w:firstLineChars="0"/>
                    <w:rPr>
                      <w:rFonts w:hint="default" w:cs="Times New Roman"/>
                      <w:sz w:val="21"/>
                      <w:szCs w:val="21"/>
                      <w:u w:val="single"/>
                      <w:lang w:val="en-US" w:eastAsia="zh-CN"/>
                    </w:rPr>
                  </w:pPr>
                  <w:r>
                    <w:rPr>
                      <w:rFonts w:hint="eastAsia" w:cs="Times New Roman"/>
                      <w:sz w:val="21"/>
                      <w:szCs w:val="21"/>
                      <w:u w:val="single"/>
                      <w:lang w:val="en-US" w:eastAsia="zh-CN"/>
                    </w:rPr>
                    <w:t>/</w:t>
                  </w:r>
                </w:p>
              </w:tc>
              <w:tc>
                <w:tcPr>
                  <w:tcW w:w="859"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rPr>
                  </w:pPr>
                  <w:r>
                    <w:rPr>
                      <w:rFonts w:hint="eastAsia" w:cs="Times New Roman"/>
                      <w:sz w:val="21"/>
                      <w:szCs w:val="21"/>
                      <w:u w:val="single"/>
                      <w:lang w:val="en-US" w:eastAsia="zh-CN"/>
                    </w:rPr>
                    <w:t>0.876</w:t>
                  </w:r>
                  <w:r>
                    <w:rPr>
                      <w:rFonts w:hint="default" w:ascii="Times New Roman" w:hAnsi="Times New Roman" w:cs="Times New Roman"/>
                      <w:sz w:val="21"/>
                      <w:szCs w:val="21"/>
                      <w:u w:val="single"/>
                    </w:rPr>
                    <w:t>kg/a</w:t>
                  </w:r>
                </w:p>
              </w:tc>
              <w:tc>
                <w:tcPr>
                  <w:tcW w:w="942"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rPr>
                  </w:pPr>
                  <w:r>
                    <w:rPr>
                      <w:rFonts w:hint="eastAsia" w:cs="Times New Roman"/>
                      <w:sz w:val="21"/>
                      <w:szCs w:val="21"/>
                      <w:u w:val="single"/>
                      <w:lang w:val="en-US" w:eastAsia="zh-CN"/>
                    </w:rPr>
                    <w:t>0.0005</w:t>
                  </w:r>
                  <w:r>
                    <w:rPr>
                      <w:rFonts w:hint="default" w:ascii="Times New Roman" w:hAnsi="Times New Roman" w:cs="Times New Roman"/>
                      <w:sz w:val="21"/>
                      <w:szCs w:val="21"/>
                      <w:u w:val="single"/>
                    </w:rPr>
                    <w:t>kg/h</w:t>
                  </w:r>
                </w:p>
              </w:tc>
              <w:tc>
                <w:tcPr>
                  <w:tcW w:w="869"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rPr>
                  </w:pPr>
                  <w:r>
                    <w:rPr>
                      <w:rFonts w:hint="default" w:ascii="Times New Roman" w:hAnsi="Times New Roman" w:cs="Times New Roman"/>
                      <w:sz w:val="21"/>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415" w:type="pct"/>
                  <w:vMerge w:val="restart"/>
                  <w:noWrap w:val="0"/>
                  <w:vAlign w:val="center"/>
                </w:tcPr>
                <w:p>
                  <w:pPr>
                    <w:pStyle w:val="38"/>
                    <w:bidi w:val="0"/>
                    <w:rPr>
                      <w:rFonts w:hint="default" w:ascii="Times New Roman" w:hAnsi="Times New Roman" w:cs="Times New Roman"/>
                      <w:sz w:val="21"/>
                      <w:szCs w:val="21"/>
                      <w:u w:val="single"/>
                    </w:rPr>
                  </w:pPr>
                  <w:r>
                    <w:rPr>
                      <w:rFonts w:hint="default" w:ascii="Times New Roman" w:hAnsi="Times New Roman" w:eastAsia="宋体" w:cs="Times New Roman"/>
                      <w:sz w:val="21"/>
                      <w:szCs w:val="21"/>
                      <w:u w:val="single"/>
                    </w:rPr>
                    <w:t>H</w:t>
                  </w:r>
                  <w:r>
                    <w:rPr>
                      <w:rFonts w:hint="default" w:ascii="Times New Roman" w:hAnsi="Times New Roman" w:eastAsia="宋体" w:cs="Times New Roman"/>
                      <w:sz w:val="21"/>
                      <w:szCs w:val="21"/>
                      <w:u w:val="single"/>
                      <w:vertAlign w:val="subscript"/>
                    </w:rPr>
                    <w:t>2</w:t>
                  </w:r>
                  <w:r>
                    <w:rPr>
                      <w:rFonts w:hint="default" w:ascii="Times New Roman" w:hAnsi="Times New Roman" w:eastAsia="宋体" w:cs="Times New Roman"/>
                      <w:sz w:val="21"/>
                      <w:szCs w:val="21"/>
                      <w:u w:val="single"/>
                    </w:rPr>
                    <w:t>S</w:t>
                  </w:r>
                </w:p>
              </w:tc>
              <w:tc>
                <w:tcPr>
                  <w:tcW w:w="1024"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rPr>
                  </w:pPr>
                  <w:r>
                    <w:rPr>
                      <w:rFonts w:hint="default" w:ascii="Times New Roman" w:hAnsi="Times New Roman" w:cs="Times New Roman"/>
                      <w:sz w:val="21"/>
                      <w:szCs w:val="21"/>
                      <w:u w:val="single"/>
                    </w:rPr>
                    <w:t>收集（90%）</w:t>
                  </w:r>
                </w:p>
              </w:tc>
              <w:tc>
                <w:tcPr>
                  <w:tcW w:w="888" w:type="pct"/>
                  <w:noWrap w:val="0"/>
                  <w:vAlign w:val="center"/>
                </w:tcPr>
                <w:p>
                  <w:pPr>
                    <w:pStyle w:val="38"/>
                    <w:bidi w:val="0"/>
                    <w:ind w:left="0" w:leftChars="0" w:right="0" w:rightChars="0" w:firstLine="0" w:firstLineChars="0"/>
                    <w:rPr>
                      <w:rFonts w:hint="eastAsia" w:ascii="Times New Roman" w:hAnsi="Times New Roman" w:eastAsia="宋体" w:cs="Times New Roman"/>
                      <w:sz w:val="21"/>
                      <w:szCs w:val="21"/>
                      <w:u w:val="single"/>
                      <w:lang w:val="en-US" w:eastAsia="zh-CN" w:bidi="zh-CN"/>
                    </w:rPr>
                  </w:pPr>
                  <w:r>
                    <w:rPr>
                      <w:rFonts w:hint="eastAsia" w:cs="Times New Roman"/>
                      <w:sz w:val="21"/>
                      <w:szCs w:val="21"/>
                      <w:u w:val="single"/>
                      <w:lang w:val="en-US" w:eastAsia="zh-CN"/>
                    </w:rPr>
                    <w:t>DA001</w:t>
                  </w:r>
                </w:p>
              </w:tc>
              <w:tc>
                <w:tcPr>
                  <w:tcW w:w="859"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lang w:val="en-US" w:eastAsia="zh-CN"/>
                    </w:rPr>
                  </w:pPr>
                  <w:r>
                    <w:rPr>
                      <w:rFonts w:hint="eastAsia" w:cs="Times New Roman"/>
                      <w:sz w:val="21"/>
                      <w:szCs w:val="21"/>
                      <w:u w:val="single"/>
                      <w:lang w:val="en-US" w:eastAsia="zh-CN"/>
                    </w:rPr>
                    <w:t>0.657</w:t>
                  </w:r>
                  <w:r>
                    <w:rPr>
                      <w:rFonts w:hint="default" w:ascii="Times New Roman" w:hAnsi="Times New Roman" w:cs="Times New Roman"/>
                      <w:sz w:val="21"/>
                      <w:szCs w:val="21"/>
                      <w:u w:val="single"/>
                    </w:rPr>
                    <w:t>kg/a</w:t>
                  </w:r>
                </w:p>
              </w:tc>
              <w:tc>
                <w:tcPr>
                  <w:tcW w:w="942"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lang w:val="en-US" w:eastAsia="zh-CN"/>
                    </w:rPr>
                  </w:pPr>
                  <w:r>
                    <w:rPr>
                      <w:rFonts w:hint="eastAsia" w:cs="Times New Roman"/>
                      <w:sz w:val="21"/>
                      <w:szCs w:val="21"/>
                      <w:u w:val="single"/>
                      <w:lang w:val="en-US" w:eastAsia="zh-CN"/>
                    </w:rPr>
                    <w:t>0.0004</w:t>
                  </w:r>
                  <w:r>
                    <w:rPr>
                      <w:rFonts w:hint="default" w:ascii="Times New Roman" w:hAnsi="Times New Roman" w:cs="Times New Roman"/>
                      <w:sz w:val="21"/>
                      <w:szCs w:val="21"/>
                      <w:u w:val="single"/>
                    </w:rPr>
                    <w:t>kg/h</w:t>
                  </w:r>
                </w:p>
              </w:tc>
              <w:tc>
                <w:tcPr>
                  <w:tcW w:w="869"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lang w:val="en-US" w:eastAsia="zh-CN"/>
                    </w:rPr>
                  </w:pPr>
                  <w:r>
                    <w:rPr>
                      <w:rFonts w:hint="eastAsia" w:cs="Times New Roman"/>
                      <w:sz w:val="21"/>
                      <w:szCs w:val="21"/>
                      <w:u w:val="single"/>
                      <w:lang w:val="en-US" w:eastAsia="zh-CN"/>
                    </w:rPr>
                    <w:t>0.007</w:t>
                  </w:r>
                  <w:r>
                    <w:rPr>
                      <w:rFonts w:hint="default" w:ascii="Times New Roman" w:hAnsi="Times New Roman" w:cs="Times New Roman"/>
                      <w:sz w:val="21"/>
                      <w:szCs w:val="21"/>
                      <w:u w:val="single"/>
                    </w:rPr>
                    <w:t>mg/m³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415" w:type="pct"/>
                  <w:vMerge w:val="continue"/>
                  <w:noWrap w:val="0"/>
                  <w:vAlign w:val="center"/>
                </w:tcPr>
                <w:p>
                  <w:pPr>
                    <w:pStyle w:val="38"/>
                    <w:bidi w:val="0"/>
                    <w:rPr>
                      <w:rFonts w:hint="default" w:ascii="Times New Roman" w:hAnsi="Times New Roman" w:cs="Times New Roman"/>
                      <w:sz w:val="21"/>
                      <w:szCs w:val="21"/>
                      <w:u w:val="single"/>
                    </w:rPr>
                  </w:pPr>
                </w:p>
              </w:tc>
              <w:tc>
                <w:tcPr>
                  <w:tcW w:w="1024"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rPr>
                  </w:pPr>
                  <w:r>
                    <w:rPr>
                      <w:rFonts w:hint="default" w:ascii="Times New Roman" w:hAnsi="Times New Roman" w:cs="Times New Roman"/>
                      <w:sz w:val="21"/>
                      <w:szCs w:val="21"/>
                      <w:u w:val="single"/>
                    </w:rPr>
                    <w:t>无组织（10%）</w:t>
                  </w:r>
                </w:p>
              </w:tc>
              <w:tc>
                <w:tcPr>
                  <w:tcW w:w="888" w:type="pct"/>
                  <w:noWrap w:val="0"/>
                  <w:vAlign w:val="center"/>
                </w:tcPr>
                <w:p>
                  <w:pPr>
                    <w:pStyle w:val="38"/>
                    <w:bidi w:val="0"/>
                    <w:ind w:left="0" w:leftChars="0" w:right="0" w:rightChars="0" w:firstLine="0" w:firstLineChars="0"/>
                    <w:rPr>
                      <w:rFonts w:hint="default" w:cs="Times New Roman"/>
                      <w:sz w:val="21"/>
                      <w:szCs w:val="21"/>
                      <w:u w:val="single"/>
                      <w:lang w:val="en-US" w:eastAsia="zh-CN"/>
                    </w:rPr>
                  </w:pPr>
                  <w:r>
                    <w:rPr>
                      <w:rFonts w:hint="eastAsia" w:cs="Times New Roman"/>
                      <w:sz w:val="21"/>
                      <w:szCs w:val="21"/>
                      <w:u w:val="single"/>
                      <w:lang w:val="en-US" w:eastAsia="zh-CN"/>
                    </w:rPr>
                    <w:t>/</w:t>
                  </w:r>
                </w:p>
              </w:tc>
              <w:tc>
                <w:tcPr>
                  <w:tcW w:w="859"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lang w:val="en-US" w:eastAsia="zh-CN"/>
                    </w:rPr>
                  </w:pPr>
                  <w:r>
                    <w:rPr>
                      <w:rFonts w:hint="eastAsia" w:cs="Times New Roman"/>
                      <w:sz w:val="21"/>
                      <w:szCs w:val="21"/>
                      <w:u w:val="single"/>
                      <w:lang w:val="en-US" w:eastAsia="zh-CN"/>
                    </w:rPr>
                    <w:t>0.073</w:t>
                  </w:r>
                  <w:r>
                    <w:rPr>
                      <w:rFonts w:hint="default" w:ascii="Times New Roman" w:hAnsi="Times New Roman" w:cs="Times New Roman"/>
                      <w:sz w:val="21"/>
                      <w:szCs w:val="21"/>
                      <w:u w:val="single"/>
                    </w:rPr>
                    <w:t>kg/a</w:t>
                  </w:r>
                </w:p>
              </w:tc>
              <w:tc>
                <w:tcPr>
                  <w:tcW w:w="942"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lang w:val="en-US" w:eastAsia="zh-CN"/>
                    </w:rPr>
                  </w:pPr>
                  <w:r>
                    <w:rPr>
                      <w:rFonts w:hint="eastAsia" w:cs="Times New Roman"/>
                      <w:sz w:val="21"/>
                      <w:szCs w:val="21"/>
                      <w:u w:val="single"/>
                      <w:lang w:val="en-US" w:eastAsia="zh-CN"/>
                    </w:rPr>
                    <w:t>0.00004</w:t>
                  </w:r>
                  <w:r>
                    <w:rPr>
                      <w:rFonts w:hint="default" w:ascii="Times New Roman" w:hAnsi="Times New Roman" w:cs="Times New Roman"/>
                      <w:sz w:val="21"/>
                      <w:szCs w:val="21"/>
                      <w:u w:val="single"/>
                    </w:rPr>
                    <w:t>kg/h</w:t>
                  </w:r>
                </w:p>
              </w:tc>
              <w:tc>
                <w:tcPr>
                  <w:tcW w:w="869"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5000" w:type="pct"/>
                  <w:gridSpan w:val="6"/>
                  <w:noWrap w:val="0"/>
                  <w:vAlign w:val="center"/>
                </w:tcPr>
                <w:p>
                  <w:pPr>
                    <w:pStyle w:val="38"/>
                    <w:bidi w:val="0"/>
                    <w:rPr>
                      <w:rFonts w:hint="eastAsia" w:ascii="Times New Roman" w:hAnsi="Times New Roman" w:eastAsia="宋体" w:cs="Times New Roman"/>
                      <w:sz w:val="21"/>
                      <w:szCs w:val="21"/>
                      <w:u w:val="single"/>
                      <w:lang w:eastAsia="zh-CN"/>
                    </w:rPr>
                  </w:pPr>
                  <w:r>
                    <w:rPr>
                      <w:rFonts w:hint="eastAsia" w:cs="Times New Roman"/>
                      <w:sz w:val="21"/>
                      <w:szCs w:val="21"/>
                      <w:u w:val="single"/>
                      <w:lang w:eastAsia="zh-CN"/>
                    </w:rPr>
                    <w:t>有组织</w:t>
                  </w:r>
                  <w:r>
                    <w:rPr>
                      <w:rFonts w:hint="default" w:ascii="Times New Roman" w:hAnsi="Times New Roman" w:cs="Times New Roman"/>
                      <w:sz w:val="21"/>
                      <w:szCs w:val="21"/>
                      <w:u w:val="single"/>
                    </w:rPr>
                    <w:t>去除效率为9</w:t>
                  </w:r>
                  <w:r>
                    <w:rPr>
                      <w:rFonts w:hint="default" w:ascii="Times New Roman" w:hAnsi="Times New Roman" w:cs="Times New Roman"/>
                      <w:sz w:val="21"/>
                      <w:szCs w:val="21"/>
                      <w:u w:val="single"/>
                      <w:lang w:val="en-US" w:eastAsia="zh-CN"/>
                    </w:rPr>
                    <w:t>5</w:t>
                  </w:r>
                  <w:r>
                    <w:rPr>
                      <w:rFonts w:hint="default" w:ascii="Times New Roman" w:hAnsi="Times New Roman" w:cs="Times New Roman"/>
                      <w:sz w:val="21"/>
                      <w:szCs w:val="21"/>
                      <w:u w:val="single"/>
                    </w:rPr>
                    <w:t>%</w:t>
                  </w:r>
                  <w:r>
                    <w:rPr>
                      <w:rFonts w:hint="eastAsia" w:cs="Times New Roman"/>
                      <w:sz w:val="21"/>
                      <w:szCs w:val="21"/>
                      <w:u w:val="single"/>
                      <w:lang w:eastAsia="zh-CN"/>
                    </w:rPr>
                    <w:t>、无组织</w:t>
                  </w:r>
                  <w:r>
                    <w:rPr>
                      <w:rFonts w:hint="default" w:ascii="Times New Roman" w:hAnsi="Times New Roman" w:cs="Times New Roman"/>
                      <w:sz w:val="21"/>
                      <w:szCs w:val="21"/>
                      <w:u w:val="single"/>
                    </w:rPr>
                    <w:t>去除效率为</w:t>
                  </w:r>
                  <w:r>
                    <w:rPr>
                      <w:rFonts w:hint="eastAsia" w:ascii="Times New Roman" w:hAnsi="Times New Roman" w:cs="Times New Roman"/>
                      <w:sz w:val="21"/>
                      <w:szCs w:val="21"/>
                      <w:u w:val="single"/>
                      <w:lang w:val="en-US" w:eastAsia="zh-CN"/>
                    </w:rPr>
                    <w:t>50</w:t>
                  </w:r>
                  <w:r>
                    <w:rPr>
                      <w:rFonts w:hint="default" w:ascii="Times New Roman" w:hAnsi="Times New Roman" w:cs="Times New Roman"/>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415" w:type="pct"/>
                  <w:noWrap w:val="0"/>
                  <w:vAlign w:val="center"/>
                </w:tcPr>
                <w:p>
                  <w:pPr>
                    <w:pStyle w:val="38"/>
                    <w:bidi w:val="0"/>
                    <w:ind w:left="0" w:leftChars="0" w:right="0" w:rightChars="0" w:firstLine="0" w:firstLineChars="0"/>
                    <w:rPr>
                      <w:rFonts w:hint="default" w:ascii="Times New Roman" w:hAnsi="Times New Roman" w:eastAsia="宋体" w:cs="Times New Roman"/>
                      <w:sz w:val="21"/>
                      <w:szCs w:val="21"/>
                      <w:u w:val="single"/>
                    </w:rPr>
                  </w:pPr>
                </w:p>
              </w:tc>
              <w:tc>
                <w:tcPr>
                  <w:tcW w:w="1024" w:type="pct"/>
                  <w:noWrap w:val="0"/>
                  <w:vAlign w:val="center"/>
                </w:tcPr>
                <w:p>
                  <w:pPr>
                    <w:pStyle w:val="38"/>
                    <w:bidi w:val="0"/>
                    <w:ind w:left="0" w:leftChars="0" w:right="0" w:rightChars="0" w:firstLine="0" w:firstLineChars="0"/>
                    <w:rPr>
                      <w:rFonts w:hint="default" w:ascii="Times New Roman" w:hAnsi="Times New Roman" w:eastAsia="宋体" w:cs="Times New Roman"/>
                      <w:b/>
                      <w:bCs/>
                      <w:sz w:val="21"/>
                      <w:szCs w:val="21"/>
                      <w:u w:val="single"/>
                      <w:lang w:val="en-US" w:eastAsia="zh-CN" w:bidi="zh-CN"/>
                    </w:rPr>
                  </w:pPr>
                  <w:r>
                    <w:rPr>
                      <w:rFonts w:hint="eastAsia" w:cs="Times New Roman"/>
                      <w:b/>
                      <w:bCs/>
                      <w:sz w:val="21"/>
                      <w:szCs w:val="21"/>
                      <w:u w:val="single"/>
                      <w:lang w:val="en-US" w:eastAsia="zh-CN"/>
                    </w:rPr>
                    <w:t>排放方式</w:t>
                  </w:r>
                </w:p>
              </w:tc>
              <w:tc>
                <w:tcPr>
                  <w:tcW w:w="888" w:type="pct"/>
                  <w:noWrap w:val="0"/>
                  <w:vAlign w:val="center"/>
                </w:tcPr>
                <w:p>
                  <w:pPr>
                    <w:pStyle w:val="38"/>
                    <w:bidi w:val="0"/>
                    <w:ind w:left="0" w:leftChars="0" w:right="0" w:rightChars="0" w:firstLine="0" w:firstLineChars="0"/>
                    <w:rPr>
                      <w:rFonts w:hint="eastAsia" w:ascii="Times New Roman" w:hAnsi="Times New Roman" w:eastAsia="宋体" w:cs="Times New Roman"/>
                      <w:b/>
                      <w:bCs/>
                      <w:sz w:val="21"/>
                      <w:szCs w:val="21"/>
                      <w:u w:val="single"/>
                      <w:lang w:val="en-US" w:eastAsia="zh-CN" w:bidi="zh-CN"/>
                    </w:rPr>
                  </w:pPr>
                  <w:r>
                    <w:rPr>
                      <w:rFonts w:hint="eastAsia" w:cs="Times New Roman"/>
                      <w:b/>
                      <w:bCs/>
                      <w:sz w:val="21"/>
                      <w:szCs w:val="21"/>
                      <w:u w:val="single"/>
                      <w:lang w:val="en-US" w:eastAsia="zh-CN"/>
                    </w:rPr>
                    <w:t>排放口编号</w:t>
                  </w:r>
                </w:p>
              </w:tc>
              <w:tc>
                <w:tcPr>
                  <w:tcW w:w="859" w:type="pct"/>
                  <w:noWrap w:val="0"/>
                  <w:vAlign w:val="center"/>
                </w:tcPr>
                <w:p>
                  <w:pPr>
                    <w:pStyle w:val="38"/>
                    <w:bidi w:val="0"/>
                    <w:ind w:left="0" w:leftChars="0" w:right="0" w:rightChars="0" w:firstLine="0" w:firstLineChars="0"/>
                    <w:rPr>
                      <w:rFonts w:hint="eastAsia" w:ascii="Times New Roman" w:hAnsi="Times New Roman" w:eastAsia="宋体" w:cs="Times New Roman"/>
                      <w:b/>
                      <w:bCs/>
                      <w:sz w:val="21"/>
                      <w:szCs w:val="21"/>
                      <w:u w:val="single"/>
                      <w:lang w:val="en-US" w:eastAsia="zh-CN" w:bidi="zh-CN"/>
                    </w:rPr>
                  </w:pPr>
                  <w:r>
                    <w:rPr>
                      <w:rFonts w:hint="eastAsia" w:cs="Times New Roman"/>
                      <w:b/>
                      <w:bCs/>
                      <w:sz w:val="21"/>
                      <w:szCs w:val="21"/>
                      <w:u w:val="single"/>
                      <w:lang w:val="en-US" w:eastAsia="zh-CN"/>
                    </w:rPr>
                    <w:t>排放量</w:t>
                  </w:r>
                </w:p>
              </w:tc>
              <w:tc>
                <w:tcPr>
                  <w:tcW w:w="942" w:type="pct"/>
                  <w:noWrap w:val="0"/>
                  <w:vAlign w:val="center"/>
                </w:tcPr>
                <w:p>
                  <w:pPr>
                    <w:pStyle w:val="38"/>
                    <w:bidi w:val="0"/>
                    <w:ind w:left="0" w:leftChars="0" w:right="0" w:rightChars="0" w:firstLine="0" w:firstLineChars="0"/>
                    <w:rPr>
                      <w:rFonts w:hint="eastAsia" w:ascii="Times New Roman" w:hAnsi="Times New Roman" w:eastAsia="宋体" w:cs="Times New Roman"/>
                      <w:b/>
                      <w:bCs/>
                      <w:sz w:val="21"/>
                      <w:szCs w:val="21"/>
                      <w:u w:val="single"/>
                      <w:lang w:val="en-US" w:eastAsia="zh-CN" w:bidi="zh-CN"/>
                    </w:rPr>
                  </w:pPr>
                  <w:r>
                    <w:rPr>
                      <w:rFonts w:hint="eastAsia" w:cs="Times New Roman"/>
                      <w:b/>
                      <w:bCs/>
                      <w:sz w:val="21"/>
                      <w:szCs w:val="21"/>
                      <w:u w:val="single"/>
                      <w:lang w:val="en-US" w:eastAsia="zh-CN"/>
                    </w:rPr>
                    <w:t>排放速率</w:t>
                  </w:r>
                </w:p>
              </w:tc>
              <w:tc>
                <w:tcPr>
                  <w:tcW w:w="869" w:type="pct"/>
                  <w:noWrap w:val="0"/>
                  <w:vAlign w:val="center"/>
                </w:tcPr>
                <w:p>
                  <w:pPr>
                    <w:pStyle w:val="38"/>
                    <w:bidi w:val="0"/>
                    <w:ind w:left="0" w:leftChars="0" w:right="0" w:rightChars="0" w:firstLine="0" w:firstLineChars="0"/>
                    <w:rPr>
                      <w:rFonts w:hint="eastAsia" w:ascii="Times New Roman" w:hAnsi="Times New Roman" w:eastAsia="宋体" w:cs="Times New Roman"/>
                      <w:b/>
                      <w:bCs/>
                      <w:sz w:val="21"/>
                      <w:szCs w:val="21"/>
                      <w:u w:val="single"/>
                      <w:lang w:val="en-US" w:eastAsia="zh-CN" w:bidi="zh-CN"/>
                    </w:rPr>
                  </w:pPr>
                  <w:r>
                    <w:rPr>
                      <w:rFonts w:hint="eastAsia" w:cs="Times New Roman"/>
                      <w:b/>
                      <w:bCs/>
                      <w:sz w:val="21"/>
                      <w:szCs w:val="21"/>
                      <w:u w:val="single"/>
                      <w:lang w:val="en-US" w:eastAsia="zh-CN"/>
                    </w:rPr>
                    <w:t>排放浓度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415" w:type="pct"/>
                  <w:vMerge w:val="restart"/>
                  <w:noWrap w:val="0"/>
                  <w:vAlign w:val="center"/>
                </w:tcPr>
                <w:p>
                  <w:pPr>
                    <w:pStyle w:val="38"/>
                    <w:bidi w:val="0"/>
                    <w:ind w:left="0" w:leftChars="0" w:right="0" w:rightChars="0" w:firstLine="0" w:firstLineChars="0"/>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sz w:val="21"/>
                      <w:szCs w:val="21"/>
                      <w:u w:val="single"/>
                    </w:rPr>
                    <w:t>NH</w:t>
                  </w:r>
                  <w:r>
                    <w:rPr>
                      <w:rFonts w:hint="default" w:ascii="Times New Roman" w:hAnsi="Times New Roman" w:eastAsia="宋体" w:cs="Times New Roman"/>
                      <w:sz w:val="21"/>
                      <w:szCs w:val="21"/>
                      <w:u w:val="single"/>
                      <w:vertAlign w:val="subscript"/>
                    </w:rPr>
                    <w:t>3</w:t>
                  </w:r>
                </w:p>
              </w:tc>
              <w:tc>
                <w:tcPr>
                  <w:tcW w:w="1024"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有组织</w:t>
                  </w:r>
                </w:p>
              </w:tc>
              <w:tc>
                <w:tcPr>
                  <w:tcW w:w="888" w:type="pct"/>
                  <w:noWrap w:val="0"/>
                  <w:vAlign w:val="center"/>
                </w:tcPr>
                <w:p>
                  <w:pPr>
                    <w:pStyle w:val="38"/>
                    <w:bidi w:val="0"/>
                    <w:ind w:left="0" w:leftChars="0" w:right="0" w:rightChars="0" w:firstLine="0" w:firstLineChars="0"/>
                    <w:rPr>
                      <w:rFonts w:hint="eastAsia" w:cs="Times New Roman"/>
                      <w:sz w:val="21"/>
                      <w:szCs w:val="21"/>
                      <w:u w:val="single"/>
                      <w:lang w:val="en-US" w:eastAsia="zh-CN"/>
                    </w:rPr>
                  </w:pPr>
                  <w:r>
                    <w:rPr>
                      <w:rFonts w:hint="eastAsia" w:cs="Times New Roman"/>
                      <w:sz w:val="21"/>
                      <w:szCs w:val="21"/>
                      <w:u w:val="single"/>
                      <w:lang w:val="en-US" w:eastAsia="zh-CN"/>
                    </w:rPr>
                    <w:t>DA001</w:t>
                  </w:r>
                </w:p>
              </w:tc>
              <w:tc>
                <w:tcPr>
                  <w:tcW w:w="859"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rPr>
                  </w:pPr>
                  <w:r>
                    <w:rPr>
                      <w:rFonts w:hint="eastAsia" w:cs="Times New Roman"/>
                      <w:sz w:val="21"/>
                      <w:szCs w:val="21"/>
                      <w:u w:val="single"/>
                      <w:lang w:val="en-US" w:eastAsia="zh-CN"/>
                    </w:rPr>
                    <w:t>0.394</w:t>
                  </w:r>
                  <w:r>
                    <w:rPr>
                      <w:rFonts w:hint="default" w:ascii="Times New Roman" w:hAnsi="Times New Roman" w:cs="Times New Roman"/>
                      <w:sz w:val="21"/>
                      <w:szCs w:val="21"/>
                      <w:u w:val="single"/>
                    </w:rPr>
                    <w:t>kg/a</w:t>
                  </w:r>
                </w:p>
              </w:tc>
              <w:tc>
                <w:tcPr>
                  <w:tcW w:w="942"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rPr>
                  </w:pPr>
                  <w:r>
                    <w:rPr>
                      <w:rFonts w:hint="eastAsia" w:cs="Times New Roman"/>
                      <w:sz w:val="21"/>
                      <w:szCs w:val="21"/>
                      <w:u w:val="single"/>
                      <w:lang w:val="en-US" w:eastAsia="zh-CN"/>
                    </w:rPr>
                    <w:t>0.0002</w:t>
                  </w:r>
                  <w:r>
                    <w:rPr>
                      <w:rFonts w:hint="default" w:ascii="Times New Roman" w:hAnsi="Times New Roman" w:cs="Times New Roman"/>
                      <w:sz w:val="21"/>
                      <w:szCs w:val="21"/>
                      <w:u w:val="single"/>
                    </w:rPr>
                    <w:t>kg/h</w:t>
                  </w:r>
                </w:p>
              </w:tc>
              <w:tc>
                <w:tcPr>
                  <w:tcW w:w="869"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rPr>
                  </w:pPr>
                  <w:r>
                    <w:rPr>
                      <w:rFonts w:hint="eastAsia" w:cs="Times New Roman"/>
                      <w:sz w:val="21"/>
                      <w:szCs w:val="21"/>
                      <w:u w:val="single"/>
                      <w:lang w:val="en-US" w:eastAsia="zh-CN"/>
                    </w:rPr>
                    <w:t>0.003</w:t>
                  </w:r>
                  <w:r>
                    <w:rPr>
                      <w:rFonts w:hint="default" w:ascii="Times New Roman" w:hAnsi="Times New Roman" w:cs="Times New Roman"/>
                      <w:sz w:val="21"/>
                      <w:szCs w:val="21"/>
                      <w:u w:val="single"/>
                    </w:rPr>
                    <w:t>mg/m³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415" w:type="pct"/>
                  <w:vMerge w:val="continue"/>
                  <w:noWrap w:val="0"/>
                  <w:vAlign w:val="center"/>
                </w:tcPr>
                <w:p>
                  <w:pPr>
                    <w:pStyle w:val="38"/>
                    <w:bidi w:val="0"/>
                    <w:rPr>
                      <w:rFonts w:hint="default" w:ascii="Times New Roman" w:hAnsi="Times New Roman" w:eastAsia="宋体" w:cs="Times New Roman"/>
                      <w:sz w:val="21"/>
                      <w:szCs w:val="21"/>
                      <w:u w:val="single"/>
                      <w:lang w:val="en-US" w:eastAsia="zh-CN"/>
                    </w:rPr>
                  </w:pPr>
                </w:p>
              </w:tc>
              <w:tc>
                <w:tcPr>
                  <w:tcW w:w="1024"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无组织</w:t>
                  </w:r>
                </w:p>
              </w:tc>
              <w:tc>
                <w:tcPr>
                  <w:tcW w:w="888" w:type="pct"/>
                  <w:noWrap w:val="0"/>
                  <w:vAlign w:val="center"/>
                </w:tcPr>
                <w:p>
                  <w:pPr>
                    <w:pStyle w:val="38"/>
                    <w:bidi w:val="0"/>
                    <w:ind w:left="0" w:leftChars="0" w:right="0" w:rightChars="0" w:firstLine="0" w:firstLineChars="0"/>
                    <w:rPr>
                      <w:rFonts w:hint="default" w:cs="Times New Roman"/>
                      <w:sz w:val="21"/>
                      <w:szCs w:val="21"/>
                      <w:u w:val="single"/>
                      <w:lang w:val="en-US" w:eastAsia="zh-CN"/>
                    </w:rPr>
                  </w:pPr>
                  <w:r>
                    <w:rPr>
                      <w:rFonts w:hint="eastAsia" w:cs="Times New Roman"/>
                      <w:sz w:val="21"/>
                      <w:szCs w:val="21"/>
                      <w:u w:val="single"/>
                      <w:lang w:val="en-US" w:eastAsia="zh-CN"/>
                    </w:rPr>
                    <w:t>/</w:t>
                  </w:r>
                </w:p>
              </w:tc>
              <w:tc>
                <w:tcPr>
                  <w:tcW w:w="859"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lang w:val="en-US" w:eastAsia="zh-CN"/>
                    </w:rPr>
                  </w:pPr>
                  <w:r>
                    <w:rPr>
                      <w:rFonts w:hint="eastAsia" w:cs="Times New Roman"/>
                      <w:sz w:val="21"/>
                      <w:szCs w:val="21"/>
                      <w:u w:val="single"/>
                      <w:lang w:val="en-US" w:eastAsia="zh-CN"/>
                    </w:rPr>
                    <w:t>0.438</w:t>
                  </w:r>
                  <w:r>
                    <w:rPr>
                      <w:rFonts w:hint="default" w:ascii="Times New Roman" w:hAnsi="Times New Roman" w:cs="Times New Roman"/>
                      <w:sz w:val="21"/>
                      <w:szCs w:val="21"/>
                      <w:u w:val="single"/>
                    </w:rPr>
                    <w:t>kg/a</w:t>
                  </w:r>
                </w:p>
              </w:tc>
              <w:tc>
                <w:tcPr>
                  <w:tcW w:w="942"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lang w:val="en-US" w:eastAsia="zh-CN"/>
                    </w:rPr>
                  </w:pPr>
                  <w:r>
                    <w:rPr>
                      <w:rFonts w:hint="eastAsia" w:cs="Times New Roman"/>
                      <w:sz w:val="21"/>
                      <w:szCs w:val="21"/>
                      <w:u w:val="single"/>
                      <w:lang w:val="en-US" w:eastAsia="zh-CN"/>
                    </w:rPr>
                    <w:t>0.0003</w:t>
                  </w:r>
                  <w:r>
                    <w:rPr>
                      <w:rFonts w:hint="default" w:ascii="Times New Roman" w:hAnsi="Times New Roman" w:cs="Times New Roman"/>
                      <w:sz w:val="21"/>
                      <w:szCs w:val="21"/>
                      <w:u w:val="single"/>
                    </w:rPr>
                    <w:t>kg/h</w:t>
                  </w:r>
                </w:p>
              </w:tc>
              <w:tc>
                <w:tcPr>
                  <w:tcW w:w="869"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415" w:type="pct"/>
                  <w:vMerge w:val="restart"/>
                  <w:noWrap w:val="0"/>
                  <w:vAlign w:val="center"/>
                </w:tcPr>
                <w:p>
                  <w:pPr>
                    <w:pStyle w:val="38"/>
                    <w:bidi w:val="0"/>
                    <w:ind w:left="0" w:leftChars="0" w:right="0" w:rightChars="0" w:firstLine="0" w:firstLineChars="0"/>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sz w:val="21"/>
                      <w:szCs w:val="21"/>
                      <w:u w:val="single"/>
                    </w:rPr>
                    <w:t>H</w:t>
                  </w:r>
                  <w:r>
                    <w:rPr>
                      <w:rFonts w:hint="default" w:ascii="Times New Roman" w:hAnsi="Times New Roman" w:eastAsia="宋体" w:cs="Times New Roman"/>
                      <w:sz w:val="21"/>
                      <w:szCs w:val="21"/>
                      <w:u w:val="single"/>
                      <w:vertAlign w:val="subscript"/>
                    </w:rPr>
                    <w:t>2</w:t>
                  </w:r>
                  <w:r>
                    <w:rPr>
                      <w:rFonts w:hint="default" w:ascii="Times New Roman" w:hAnsi="Times New Roman" w:eastAsia="宋体" w:cs="Times New Roman"/>
                      <w:sz w:val="21"/>
                      <w:szCs w:val="21"/>
                      <w:u w:val="single"/>
                    </w:rPr>
                    <w:t>S</w:t>
                  </w:r>
                </w:p>
              </w:tc>
              <w:tc>
                <w:tcPr>
                  <w:tcW w:w="1024"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有组织</w:t>
                  </w:r>
                </w:p>
              </w:tc>
              <w:tc>
                <w:tcPr>
                  <w:tcW w:w="888" w:type="pct"/>
                  <w:noWrap w:val="0"/>
                  <w:vAlign w:val="center"/>
                </w:tcPr>
                <w:p>
                  <w:pPr>
                    <w:pStyle w:val="38"/>
                    <w:bidi w:val="0"/>
                    <w:ind w:left="0" w:leftChars="0" w:right="0" w:rightChars="0" w:firstLine="0" w:firstLineChars="0"/>
                    <w:rPr>
                      <w:rFonts w:hint="eastAsia" w:ascii="Times New Roman" w:hAnsi="Times New Roman" w:eastAsia="宋体" w:cs="Times New Roman"/>
                      <w:sz w:val="21"/>
                      <w:szCs w:val="21"/>
                      <w:u w:val="single"/>
                      <w:lang w:val="en-US" w:eastAsia="zh-CN" w:bidi="zh-CN"/>
                    </w:rPr>
                  </w:pPr>
                  <w:r>
                    <w:rPr>
                      <w:rFonts w:hint="eastAsia" w:cs="Times New Roman"/>
                      <w:sz w:val="21"/>
                      <w:szCs w:val="21"/>
                      <w:u w:val="single"/>
                      <w:lang w:val="en-US" w:eastAsia="zh-CN"/>
                    </w:rPr>
                    <w:t>DA001</w:t>
                  </w:r>
                </w:p>
              </w:tc>
              <w:tc>
                <w:tcPr>
                  <w:tcW w:w="859"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lang w:val="en-US" w:eastAsia="zh-CN"/>
                    </w:rPr>
                  </w:pPr>
                  <w:r>
                    <w:rPr>
                      <w:rFonts w:hint="eastAsia" w:cs="Times New Roman"/>
                      <w:sz w:val="21"/>
                      <w:szCs w:val="21"/>
                      <w:u w:val="single"/>
                      <w:lang w:val="en-US" w:eastAsia="zh-CN"/>
                    </w:rPr>
                    <w:t>0.013</w:t>
                  </w:r>
                  <w:r>
                    <w:rPr>
                      <w:rFonts w:hint="default" w:ascii="Times New Roman" w:hAnsi="Times New Roman" w:cs="Times New Roman"/>
                      <w:sz w:val="21"/>
                      <w:szCs w:val="21"/>
                      <w:u w:val="single"/>
                    </w:rPr>
                    <w:t>kg/a</w:t>
                  </w:r>
                </w:p>
              </w:tc>
              <w:tc>
                <w:tcPr>
                  <w:tcW w:w="942"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lang w:val="en-US" w:eastAsia="zh-CN"/>
                    </w:rPr>
                  </w:pPr>
                  <w:r>
                    <w:rPr>
                      <w:rFonts w:hint="eastAsia" w:cs="Times New Roman"/>
                      <w:sz w:val="21"/>
                      <w:szCs w:val="21"/>
                      <w:u w:val="single"/>
                      <w:lang w:val="en-US" w:eastAsia="zh-CN"/>
                    </w:rPr>
                    <w:t>0.000008</w:t>
                  </w:r>
                  <w:r>
                    <w:rPr>
                      <w:rFonts w:hint="default" w:ascii="Times New Roman" w:hAnsi="Times New Roman" w:cs="Times New Roman"/>
                      <w:sz w:val="21"/>
                      <w:szCs w:val="21"/>
                      <w:u w:val="single"/>
                    </w:rPr>
                    <w:t>kg/h</w:t>
                  </w:r>
                </w:p>
              </w:tc>
              <w:tc>
                <w:tcPr>
                  <w:tcW w:w="869"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lang w:val="en-US" w:eastAsia="zh-CN"/>
                    </w:rPr>
                  </w:pPr>
                  <w:r>
                    <w:rPr>
                      <w:rFonts w:hint="eastAsia" w:cs="Times New Roman"/>
                      <w:sz w:val="21"/>
                      <w:szCs w:val="21"/>
                      <w:u w:val="single"/>
                      <w:lang w:val="en-US" w:eastAsia="zh-CN"/>
                    </w:rPr>
                    <w:t>0.00013</w:t>
                  </w:r>
                  <w:r>
                    <w:rPr>
                      <w:rFonts w:hint="default" w:ascii="Times New Roman" w:hAnsi="Times New Roman" w:cs="Times New Roman"/>
                      <w:sz w:val="21"/>
                      <w:szCs w:val="21"/>
                      <w:u w:val="single"/>
                    </w:rPr>
                    <w:t>mg/m³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415" w:type="pct"/>
                  <w:vMerge w:val="continue"/>
                  <w:noWrap w:val="0"/>
                  <w:vAlign w:val="center"/>
                </w:tcPr>
                <w:p>
                  <w:pPr>
                    <w:pStyle w:val="38"/>
                    <w:bidi w:val="0"/>
                    <w:rPr>
                      <w:rFonts w:hint="default" w:ascii="Times New Roman" w:hAnsi="Times New Roman" w:eastAsia="宋体" w:cs="Times New Roman"/>
                      <w:sz w:val="21"/>
                      <w:szCs w:val="21"/>
                      <w:u w:val="single"/>
                      <w:lang w:val="en-US" w:eastAsia="zh-CN"/>
                    </w:rPr>
                  </w:pPr>
                </w:p>
              </w:tc>
              <w:tc>
                <w:tcPr>
                  <w:tcW w:w="1024"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无组织</w:t>
                  </w:r>
                </w:p>
              </w:tc>
              <w:tc>
                <w:tcPr>
                  <w:tcW w:w="888" w:type="pct"/>
                  <w:noWrap w:val="0"/>
                  <w:vAlign w:val="center"/>
                </w:tcPr>
                <w:p>
                  <w:pPr>
                    <w:pStyle w:val="38"/>
                    <w:bidi w:val="0"/>
                    <w:ind w:left="0" w:leftChars="0" w:right="0" w:rightChars="0" w:firstLine="0" w:firstLineChars="0"/>
                    <w:rPr>
                      <w:rFonts w:hint="default" w:cs="Times New Roman"/>
                      <w:sz w:val="21"/>
                      <w:szCs w:val="21"/>
                      <w:u w:val="single"/>
                      <w:lang w:val="en-US" w:eastAsia="zh-CN"/>
                    </w:rPr>
                  </w:pPr>
                  <w:r>
                    <w:rPr>
                      <w:rFonts w:hint="eastAsia" w:cs="Times New Roman"/>
                      <w:sz w:val="21"/>
                      <w:szCs w:val="21"/>
                      <w:u w:val="single"/>
                      <w:lang w:val="en-US" w:eastAsia="zh-CN"/>
                    </w:rPr>
                    <w:t>/</w:t>
                  </w:r>
                </w:p>
              </w:tc>
              <w:tc>
                <w:tcPr>
                  <w:tcW w:w="859"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lang w:val="en-US" w:eastAsia="zh-CN"/>
                    </w:rPr>
                  </w:pPr>
                  <w:r>
                    <w:rPr>
                      <w:rFonts w:hint="eastAsia" w:cs="Times New Roman"/>
                      <w:sz w:val="21"/>
                      <w:szCs w:val="21"/>
                      <w:u w:val="single"/>
                      <w:lang w:val="en-US" w:eastAsia="zh-CN"/>
                    </w:rPr>
                    <w:t>0.0365</w:t>
                  </w:r>
                  <w:r>
                    <w:rPr>
                      <w:rFonts w:hint="default" w:ascii="Times New Roman" w:hAnsi="Times New Roman" w:cs="Times New Roman"/>
                      <w:sz w:val="21"/>
                      <w:szCs w:val="21"/>
                      <w:u w:val="single"/>
                    </w:rPr>
                    <w:t>kg/a</w:t>
                  </w:r>
                </w:p>
              </w:tc>
              <w:tc>
                <w:tcPr>
                  <w:tcW w:w="942"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lang w:val="en-US" w:eastAsia="zh-CN"/>
                    </w:rPr>
                  </w:pPr>
                  <w:r>
                    <w:rPr>
                      <w:rFonts w:hint="eastAsia" w:cs="Times New Roman"/>
                      <w:sz w:val="21"/>
                      <w:szCs w:val="21"/>
                      <w:u w:val="single"/>
                      <w:lang w:val="en-US" w:eastAsia="zh-CN"/>
                    </w:rPr>
                    <w:t>0.00002</w:t>
                  </w:r>
                  <w:r>
                    <w:rPr>
                      <w:rFonts w:hint="default" w:ascii="Times New Roman" w:hAnsi="Times New Roman" w:cs="Times New Roman"/>
                      <w:sz w:val="21"/>
                      <w:szCs w:val="21"/>
                      <w:u w:val="single"/>
                    </w:rPr>
                    <w:t>kg/h</w:t>
                  </w:r>
                </w:p>
              </w:tc>
              <w:tc>
                <w:tcPr>
                  <w:tcW w:w="869" w:type="pct"/>
                  <w:noWrap w:val="0"/>
                  <w:vAlign w:val="center"/>
                </w:tcPr>
                <w:p>
                  <w:pPr>
                    <w:pStyle w:val="38"/>
                    <w:bidi w:val="0"/>
                    <w:ind w:left="0" w:leftChars="0" w:right="0" w:rightChars="0" w:firstLine="0" w:firstLineChars="0"/>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w:t>
                  </w:r>
                </w:p>
              </w:tc>
            </w:tr>
          </w:tbl>
          <w:p>
            <w:pPr>
              <w:keepNext w:val="0"/>
              <w:keepLines w:val="0"/>
              <w:pageBreakBefore w:val="0"/>
              <w:widowControl w:val="0"/>
              <w:kinsoku/>
              <w:wordWrap/>
              <w:overflowPunct/>
              <w:topLinePunct w:val="0"/>
              <w:autoSpaceDE/>
              <w:autoSpaceDN/>
              <w:bidi w:val="0"/>
              <w:adjustRightInd/>
              <w:snapToGrid/>
              <w:spacing w:before="0" w:beforeLines="100" w:line="360" w:lineRule="auto"/>
              <w:ind w:firstLine="480" w:firstLineChars="200"/>
              <w:jc w:val="both"/>
              <w:textAlignment w:val="auto"/>
              <w:rPr>
                <w:rFonts w:hint="default" w:ascii="Times New Roman" w:hAnsi="Times New Roman" w:cs="Times New Roman"/>
                <w:sz w:val="24"/>
                <w:szCs w:val="24"/>
                <w:u w:val="single"/>
              </w:rPr>
            </w:pPr>
            <w:r>
              <w:rPr>
                <w:rFonts w:hint="default" w:ascii="Times New Roman" w:hAnsi="Times New Roman" w:cs="Times New Roman"/>
                <w:sz w:val="24"/>
                <w:szCs w:val="24"/>
                <w:u w:val="single"/>
                <w:lang w:eastAsia="zh-CN"/>
              </w:rPr>
              <w:t>（</w:t>
            </w:r>
            <w:r>
              <w:rPr>
                <w:rFonts w:hint="default" w:ascii="Times New Roman" w:hAnsi="Times New Roman" w:cs="Times New Roman"/>
                <w:sz w:val="24"/>
                <w:szCs w:val="24"/>
                <w:u w:val="single"/>
                <w:lang w:val="en-US" w:eastAsia="zh-CN"/>
              </w:rPr>
              <w:t>3</w:t>
            </w:r>
            <w:r>
              <w:rPr>
                <w:rFonts w:hint="default" w:ascii="Times New Roman" w:hAnsi="Times New Roman" w:cs="Times New Roman"/>
                <w:sz w:val="24"/>
                <w:szCs w:val="24"/>
                <w:u w:val="single"/>
                <w:lang w:eastAsia="zh-CN"/>
              </w:rPr>
              <w:t>）</w:t>
            </w:r>
            <w:r>
              <w:rPr>
                <w:rFonts w:hint="default" w:ascii="Times New Roman" w:hAnsi="Times New Roman" w:cs="Times New Roman"/>
                <w:sz w:val="24"/>
                <w:szCs w:val="24"/>
                <w:u w:val="single"/>
              </w:rPr>
              <w:t>渗滤收集池恶液臭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u w:val="single"/>
              </w:rPr>
            </w:pPr>
            <w:r>
              <w:rPr>
                <w:rFonts w:hint="default" w:ascii="Times New Roman" w:hAnsi="Times New Roman" w:cs="Times New Roman"/>
                <w:sz w:val="24"/>
                <w:szCs w:val="24"/>
                <w:u w:val="single"/>
              </w:rPr>
              <w:t>项目渗滤液收集池加盖密闭，产生的渗滤液</w:t>
            </w:r>
            <w:r>
              <w:rPr>
                <w:rFonts w:hint="default" w:ascii="Times New Roman" w:hAnsi="Times New Roman" w:cs="Times New Roman"/>
                <w:sz w:val="24"/>
                <w:szCs w:val="24"/>
                <w:u w:val="single"/>
                <w:lang w:val="en-US" w:eastAsia="zh-CN"/>
              </w:rPr>
              <w:t>定期</w:t>
            </w:r>
            <w:r>
              <w:rPr>
                <w:rFonts w:hint="eastAsia" w:cs="Times New Roman"/>
                <w:sz w:val="24"/>
                <w:szCs w:val="24"/>
                <w:u w:val="single"/>
                <w:lang w:eastAsia="zh-CN"/>
              </w:rPr>
              <w:t>输送至凤凰县垃圾填埋场渗滤液处理系统</w:t>
            </w:r>
            <w:r>
              <w:rPr>
                <w:rFonts w:hint="default" w:ascii="Times New Roman" w:hAnsi="Times New Roman" w:cs="Times New Roman"/>
                <w:sz w:val="24"/>
                <w:szCs w:val="24"/>
                <w:u w:val="single"/>
              </w:rPr>
              <w:t>，贮存时间较短，因此恶臭污染物产量较小，对外环境影响较小。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u w:val="single"/>
              </w:rPr>
            </w:pPr>
            <w:r>
              <w:rPr>
                <w:rFonts w:hint="default" w:ascii="Times New Roman" w:hAnsi="Times New Roman" w:cs="Times New Roman"/>
                <w:sz w:val="24"/>
                <w:szCs w:val="24"/>
                <w:u w:val="single"/>
                <w:lang w:eastAsia="zh-CN"/>
              </w:rPr>
              <w:t>（</w:t>
            </w:r>
            <w:r>
              <w:rPr>
                <w:rFonts w:hint="default" w:ascii="Times New Roman" w:hAnsi="Times New Roman" w:cs="Times New Roman"/>
                <w:sz w:val="24"/>
                <w:szCs w:val="24"/>
                <w:u w:val="single"/>
                <w:lang w:val="en-US" w:eastAsia="zh-CN"/>
              </w:rPr>
              <w:t>4</w:t>
            </w:r>
            <w:r>
              <w:rPr>
                <w:rFonts w:hint="default" w:ascii="Times New Roman" w:hAnsi="Times New Roman" w:cs="Times New Roman"/>
                <w:sz w:val="24"/>
                <w:szCs w:val="24"/>
                <w:u w:val="single"/>
                <w:lang w:eastAsia="zh-CN"/>
              </w:rPr>
              <w:t>）</w:t>
            </w:r>
            <w:r>
              <w:rPr>
                <w:rFonts w:hint="default" w:ascii="Times New Roman" w:hAnsi="Times New Roman" w:cs="Times New Roman"/>
                <w:sz w:val="24"/>
                <w:szCs w:val="24"/>
                <w:u w:val="single"/>
              </w:rPr>
              <w:t>垃圾外运过程产生的废气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Style w:val="59"/>
                <w:rFonts w:hint="default" w:ascii="Times New Roman" w:hAnsi="Times New Roman" w:cs="Times New Roman"/>
                <w:b/>
                <w:bCs/>
                <w:color w:val="auto"/>
                <w:szCs w:val="28"/>
                <w:u w:val="single"/>
              </w:rPr>
            </w:pPr>
            <w:r>
              <w:rPr>
                <w:rFonts w:hint="default" w:ascii="Times New Roman" w:hAnsi="Times New Roman" w:cs="Times New Roman"/>
                <w:sz w:val="24"/>
                <w:szCs w:val="24"/>
                <w:u w:val="single"/>
              </w:rPr>
              <w:t>暂存的垃圾置于垃圾收集车内，运送至</w:t>
            </w:r>
            <w:r>
              <w:rPr>
                <w:rFonts w:hint="eastAsia" w:cs="Times New Roman"/>
                <w:sz w:val="24"/>
                <w:szCs w:val="24"/>
                <w:u w:val="single"/>
                <w:lang w:eastAsia="zh-CN"/>
              </w:rPr>
              <w:t>凤凰县垃圾填埋场</w:t>
            </w:r>
            <w:r>
              <w:rPr>
                <w:rFonts w:hint="default" w:ascii="Times New Roman" w:hAnsi="Times New Roman" w:cs="Times New Roman"/>
                <w:sz w:val="24"/>
                <w:szCs w:val="24"/>
                <w:u w:val="single"/>
              </w:rPr>
              <w:t>处理，运输过程中车辆密闭，运输过程中对外环境影响较小。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u w:val="single"/>
                <w:lang w:val="en-US" w:eastAsia="zh-CN"/>
              </w:rPr>
              <w:t>5</w:t>
            </w:r>
            <w:r>
              <w:rPr>
                <w:rFonts w:hint="default"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u w:val="single"/>
              </w:rPr>
              <w:t>运输车辆尾气</w:t>
            </w:r>
          </w:p>
          <w:p>
            <w:pPr>
              <w:bidi w:val="0"/>
              <w:jc w:val="both"/>
              <w:rPr>
                <w:rFonts w:hint="eastAsia"/>
                <w:lang w:val="en-US"/>
              </w:rPr>
            </w:pPr>
            <w:r>
              <w:rPr>
                <w:rFonts w:hint="default"/>
                <w:u w:val="single"/>
              </w:rPr>
              <w:t>车辆在运输过程中产生少量废气，主要成分为CO、NOx、THC等。</w:t>
            </w:r>
            <w:r>
              <w:rPr>
                <w:rFonts w:hint="default"/>
                <w:u w:val="single"/>
                <w:lang w:val="en-US" w:eastAsia="zh-CN"/>
              </w:rPr>
              <w:t>一</w:t>
            </w:r>
            <w:r>
              <w:rPr>
                <w:rFonts w:hint="default"/>
                <w:u w:val="single"/>
              </w:rPr>
              <w:t>般情况下，该污染源较分散且具有</w:t>
            </w:r>
            <w:r>
              <w:rPr>
                <w:rFonts w:hint="default"/>
                <w:u w:val="single"/>
                <w:lang w:val="en-US" w:eastAsia="zh-CN"/>
              </w:rPr>
              <w:t>一</w:t>
            </w:r>
            <w:r>
              <w:rPr>
                <w:rFonts w:hint="default"/>
                <w:u w:val="single"/>
              </w:rPr>
              <w:t>定的流动性，各污染物的排放量不大，且为间断排放，对周围环境空气质量影响较小。</w:t>
            </w:r>
          </w:p>
          <w:p>
            <w:pPr>
              <w:pStyle w:val="9"/>
              <w:spacing w:before="192" w:after="192"/>
              <w:rPr>
                <w:rFonts w:hint="default" w:eastAsia="宋体"/>
                <w:lang w:val="en-US" w:eastAsia="zh-CN"/>
              </w:rPr>
            </w:pPr>
            <w:r>
              <w:rPr>
                <w:rFonts w:hint="eastAsia"/>
                <w:lang w:val="en-US" w:eastAsia="zh-CN"/>
              </w:rPr>
              <w:t>4.2.1.2 大气环境保护措施及可行性分析</w:t>
            </w:r>
          </w:p>
          <w:p>
            <w:pPr>
              <w:ind w:left="0" w:leftChars="0" w:firstLine="0" w:firstLineChars="0"/>
              <w:jc w:val="both"/>
              <w:rPr>
                <w:rFonts w:hint="default"/>
                <w:b/>
                <w:bCs/>
                <w:u w:val="none"/>
                <w:lang w:val="en-US" w:eastAsia="zh-CN"/>
              </w:rPr>
            </w:pPr>
            <w:r>
              <w:rPr>
                <w:rFonts w:hint="eastAsia"/>
                <w:b/>
                <w:bCs/>
                <w:u w:val="none"/>
                <w:lang w:val="en-US" w:eastAsia="zh-CN"/>
              </w:rPr>
              <w:t>（1）大气环境保护措施</w:t>
            </w:r>
          </w:p>
          <w:p>
            <w:pPr>
              <w:ind w:firstLine="482"/>
              <w:jc w:val="both"/>
              <w:rPr>
                <w:rFonts w:hint="eastAsia" w:cs="Times New Roman"/>
                <w:sz w:val="24"/>
                <w:szCs w:val="24"/>
                <w:lang w:val="en-US" w:eastAsia="zh-CN"/>
              </w:rPr>
            </w:pPr>
            <w:r>
              <w:rPr>
                <w:rFonts w:hint="default" w:ascii="Times New Roman" w:hAnsi="Times New Roman" w:eastAsia="宋体" w:cs="Times New Roman"/>
                <w:sz w:val="24"/>
                <w:szCs w:val="24"/>
              </w:rPr>
              <w:t>垃圾卸料、压缩过程中产生的恶臭和粉尘</w:t>
            </w:r>
            <w:r>
              <w:rPr>
                <w:rFonts w:hint="eastAsia" w:cs="Times New Roman"/>
                <w:sz w:val="24"/>
                <w:szCs w:val="24"/>
                <w:lang w:eastAsia="zh-CN"/>
              </w:rPr>
              <w:t>经过料口喷雾降尘系统、</w:t>
            </w:r>
            <w:r>
              <w:rPr>
                <w:rFonts w:hint="eastAsia" w:cs="Times New Roman"/>
                <w:sz w:val="24"/>
                <w:szCs w:val="24"/>
                <w:lang w:val="en-US" w:eastAsia="zh-CN"/>
              </w:rPr>
              <w:t>高效生物吸附塔+15m排气筒排放及空间异味喷淋系统处理后达标外排，除此之外建设单位应加强垃圾转运站恶臭防治措施：</w:t>
            </w:r>
          </w:p>
          <w:p>
            <w:pPr>
              <w:ind w:firstLine="482"/>
              <w:jc w:val="both"/>
              <w:rPr>
                <w:rFonts w:hint="eastAsia" w:cs="Times New Roman"/>
                <w:sz w:val="24"/>
                <w:szCs w:val="24"/>
                <w:lang w:val="en-US" w:eastAsia="zh-CN"/>
              </w:rPr>
            </w:pPr>
            <w:r>
              <w:rPr>
                <w:rFonts w:hint="eastAsia" w:cs="Times New Roman"/>
                <w:sz w:val="24"/>
                <w:szCs w:val="24"/>
                <w:lang w:val="en-US" w:eastAsia="zh-CN"/>
              </w:rPr>
              <w:t>①压缩机房采取全密闭形式作业，在转运间内完成卸料、压缩和转运工序，同时针对压缩机位分别设置密封罩和自动感应门；</w:t>
            </w:r>
          </w:p>
          <w:p>
            <w:pPr>
              <w:ind w:firstLine="482"/>
              <w:jc w:val="both"/>
              <w:rPr>
                <w:rFonts w:hint="eastAsia" w:cs="Times New Roman"/>
                <w:sz w:val="24"/>
                <w:szCs w:val="24"/>
                <w:lang w:val="en-US" w:eastAsia="zh-CN"/>
              </w:rPr>
            </w:pPr>
            <w:r>
              <w:rPr>
                <w:rFonts w:hint="eastAsia" w:cs="Times New Roman"/>
                <w:sz w:val="24"/>
                <w:szCs w:val="24"/>
                <w:lang w:val="en-US" w:eastAsia="zh-CN"/>
              </w:rPr>
              <w:t>②压缩站采取“即来即压、即压即运”方式，垃圾不暂存，进一步降低恶臭滋生几率；</w:t>
            </w:r>
          </w:p>
          <w:p>
            <w:pPr>
              <w:ind w:firstLine="482"/>
              <w:jc w:val="both"/>
              <w:rPr>
                <w:rFonts w:hint="default" w:eastAsia="宋体"/>
                <w:b/>
                <w:bCs/>
                <w:u w:val="none"/>
                <w:lang w:val="en-US" w:eastAsia="zh-CN"/>
              </w:rPr>
            </w:pPr>
            <w:r>
              <w:rPr>
                <w:rFonts w:hint="eastAsia" w:cs="Times New Roman"/>
                <w:sz w:val="24"/>
                <w:szCs w:val="24"/>
                <w:lang w:val="en-US" w:eastAsia="zh-CN"/>
              </w:rPr>
              <w:t>③所有运输车辆均采取密闭措施。</w:t>
            </w:r>
          </w:p>
          <w:p>
            <w:pPr>
              <w:ind w:left="0" w:leftChars="0" w:firstLine="0" w:firstLineChars="0"/>
              <w:jc w:val="both"/>
              <w:rPr>
                <w:b/>
                <w:bCs/>
                <w:u w:val="none"/>
                <w:lang w:val="en-US"/>
              </w:rPr>
            </w:pPr>
            <w:r>
              <w:rPr>
                <w:rFonts w:hint="eastAsia"/>
                <w:b/>
                <w:bCs/>
                <w:u w:val="none"/>
                <w:lang w:val="en-US" w:eastAsia="zh-CN"/>
              </w:rPr>
              <w:t>（2）</w:t>
            </w:r>
            <w:r>
              <w:rPr>
                <w:b/>
                <w:bCs/>
                <w:u w:val="none"/>
                <w:lang w:val="en-US"/>
              </w:rPr>
              <w:t>处理工艺可行性分析</w:t>
            </w:r>
            <w:r>
              <w:rPr>
                <w:rFonts w:hint="eastAsia"/>
                <w:b/>
                <w:bCs/>
                <w:u w:val="none"/>
                <w:lang w:val="en-US"/>
              </w:rPr>
              <w:t>：</w:t>
            </w:r>
          </w:p>
          <w:p>
            <w:pPr>
              <w:bidi w:val="0"/>
              <w:jc w:val="both"/>
              <w:rPr>
                <w:rFonts w:hint="eastAsia" w:cs="Times New Roman"/>
                <w:color w:val="auto"/>
                <w:szCs w:val="24"/>
                <w:u w:val="single"/>
                <w:lang w:val="en-US" w:eastAsia="zh-CN"/>
              </w:rPr>
            </w:pPr>
            <w:r>
              <w:rPr>
                <w:rFonts w:hint="eastAsia" w:cs="Times New Roman"/>
                <w:color w:val="auto"/>
                <w:szCs w:val="24"/>
                <w:u w:val="single"/>
                <w:lang w:val="en-US" w:eastAsia="zh-CN"/>
              </w:rPr>
              <w:t>根据《排污许可证申请与核发技术规范环境--卫生管理业》中表A.1环境卫生管理业排污单位废气治理可行技术参考表中卸料废气治理可行技术包括生物过滤、化学洗涤、活性炭吸附。</w:t>
            </w:r>
          </w:p>
          <w:p>
            <w:pPr>
              <w:bidi w:val="0"/>
              <w:jc w:val="both"/>
              <w:rPr>
                <w:rFonts w:hint="eastAsia" w:cs="Times New Roman"/>
                <w:color w:val="auto"/>
                <w:szCs w:val="24"/>
                <w:u w:val="single"/>
                <w:lang w:val="en-US" w:eastAsia="zh-CN"/>
              </w:rPr>
            </w:pPr>
            <w:r>
              <w:rPr>
                <w:rFonts w:hint="eastAsia" w:cs="Times New Roman"/>
                <w:color w:val="auto"/>
                <w:szCs w:val="24"/>
                <w:u w:val="single"/>
                <w:lang w:val="en-US" w:eastAsia="zh-CN"/>
              </w:rPr>
              <w:t>本项目设置一套料口喷雾降尘系统、两套高效生物吸附塔及一套空间异味喷淋系统。</w:t>
            </w:r>
          </w:p>
          <w:p>
            <w:pPr>
              <w:bidi w:val="0"/>
              <w:jc w:val="both"/>
              <w:rPr>
                <w:rFonts w:hint="eastAsia" w:cs="Times New Roman"/>
                <w:color w:val="auto"/>
                <w:szCs w:val="24"/>
                <w:u w:val="single"/>
                <w:lang w:val="en-US" w:eastAsia="zh-CN"/>
              </w:rPr>
            </w:pPr>
            <w:r>
              <w:rPr>
                <w:rFonts w:hint="eastAsia" w:cs="Times New Roman"/>
                <w:color w:val="auto"/>
                <w:szCs w:val="24"/>
                <w:u w:val="single"/>
                <w:lang w:val="en-US" w:eastAsia="zh-CN"/>
              </w:rPr>
              <w:t>料口喷雾系统主要设备为雾化喷头，当垃圾收集车开始卸料时，喷雾装置自动开启，水雾从喷头呈实心锥状喷洒而下，抑制和消除部分扬尘。</w:t>
            </w:r>
          </w:p>
          <w:p>
            <w:pPr>
              <w:bidi w:val="0"/>
              <w:jc w:val="both"/>
              <w:rPr>
                <w:rFonts w:hint="eastAsia" w:cs="Times New Roman"/>
                <w:color w:val="auto"/>
                <w:szCs w:val="24"/>
                <w:u w:val="single"/>
                <w:lang w:val="en-US" w:eastAsia="zh-CN"/>
              </w:rPr>
            </w:pPr>
            <w:r>
              <w:rPr>
                <w:rFonts w:hint="eastAsia" w:cs="Times New Roman"/>
                <w:color w:val="auto"/>
                <w:szCs w:val="24"/>
                <w:u w:val="single"/>
                <w:lang w:val="en-US" w:eastAsia="zh-CN"/>
              </w:rPr>
              <w:t>高效生物吸附塔主要设备为生物吸附塔，卸料及压缩时，离心风机启动，在吸风罩内形成负压使废气通过风管，经过生物吸附塔处理，生物吸附塔内部处理流程为除尘过滤</w:t>
            </w:r>
            <w:r>
              <w:rPr>
                <w:rFonts w:hint="default" w:ascii="Arial" w:hAnsi="Arial" w:cs="Arial"/>
                <w:color w:val="auto"/>
                <w:szCs w:val="24"/>
                <w:u w:val="single"/>
                <w:lang w:val="en-US" w:eastAsia="zh-CN"/>
              </w:rPr>
              <w:t>→</w:t>
            </w:r>
            <w:r>
              <w:rPr>
                <w:rFonts w:hint="eastAsia" w:cs="Times New Roman"/>
                <w:color w:val="auto"/>
                <w:szCs w:val="24"/>
                <w:u w:val="single"/>
                <w:lang w:val="en-US" w:eastAsia="zh-CN"/>
              </w:rPr>
              <w:t>生物吸收处理</w:t>
            </w:r>
            <w:r>
              <w:rPr>
                <w:rFonts w:hint="default" w:ascii="Arial" w:hAnsi="Arial" w:cs="Arial"/>
                <w:color w:val="auto"/>
                <w:szCs w:val="24"/>
                <w:u w:val="single"/>
                <w:lang w:val="en-US" w:eastAsia="zh-CN"/>
              </w:rPr>
              <w:t>→</w:t>
            </w:r>
            <w:r>
              <w:rPr>
                <w:rFonts w:hint="eastAsia" w:cs="Times New Roman"/>
                <w:color w:val="auto"/>
                <w:szCs w:val="24"/>
                <w:u w:val="single"/>
                <w:lang w:val="en-US" w:eastAsia="zh-CN"/>
              </w:rPr>
              <w:t>高空达标排放，生物吸收液循环使用，使用过程中部分损耗，定期添加生物液。</w:t>
            </w:r>
          </w:p>
          <w:p>
            <w:pPr>
              <w:bidi w:val="0"/>
              <w:jc w:val="both"/>
              <w:rPr>
                <w:rFonts w:hint="eastAsia" w:cs="Times New Roman"/>
                <w:color w:val="auto"/>
                <w:szCs w:val="24"/>
                <w:u w:val="single"/>
                <w:lang w:val="en-US" w:eastAsia="zh-CN"/>
              </w:rPr>
            </w:pPr>
            <w:r>
              <w:rPr>
                <w:rFonts w:hint="eastAsia" w:cs="Times New Roman"/>
                <w:color w:val="auto"/>
                <w:szCs w:val="24"/>
                <w:u w:val="single"/>
                <w:lang w:val="en-US" w:eastAsia="zh-CN"/>
              </w:rPr>
              <w:t>针对废气本项目还设置了一套空间异味喷淋系统，共200个雾化喷头，主要作用在于喷洒植物液，抑制卸料压缩过程中的无组织扬尘和臭气。</w:t>
            </w:r>
          </w:p>
          <w:p>
            <w:pPr>
              <w:bidi w:val="0"/>
              <w:jc w:val="both"/>
              <w:rPr>
                <w:rFonts w:hint="eastAsia" w:cs="Times New Roman"/>
                <w:color w:val="auto"/>
                <w:szCs w:val="24"/>
                <w:u w:val="single"/>
                <w:lang w:val="en-US" w:eastAsia="zh-CN"/>
              </w:rPr>
            </w:pPr>
            <w:r>
              <w:rPr>
                <w:rFonts w:hint="eastAsia" w:cs="Times New Roman"/>
                <w:color w:val="auto"/>
                <w:szCs w:val="24"/>
                <w:u w:val="single"/>
                <w:lang w:val="en-US" w:eastAsia="zh-CN"/>
              </w:rPr>
              <w:t>本项目设置的高效生物吸附塔及空间异味喷淋系统主要涉及的处理工艺为生物过滤，与《排污许可证申请与核发技术规范环境--卫生管理业》中表A.1环境卫生管理业排污单位废气治理可行技术相符，故该技术可行。</w:t>
            </w:r>
          </w:p>
          <w:p>
            <w:pPr>
              <w:bidi w:val="0"/>
              <w:jc w:val="both"/>
              <w:rPr>
                <w:rFonts w:hint="default" w:ascii="Times New Roman" w:hAnsi="Times New Roman" w:cs="Times New Roman"/>
                <w:b/>
                <w:bCs/>
                <w:u w:val="single"/>
                <w:lang w:eastAsia="zh-CN"/>
              </w:rPr>
            </w:pPr>
            <w:r>
              <w:rPr>
                <w:rFonts w:hint="eastAsia" w:cs="Times New Roman"/>
                <w:b/>
                <w:bCs/>
                <w:u w:val="single"/>
                <w:lang w:eastAsia="zh-CN"/>
              </w:rPr>
              <w:t>高效生物吸附塔工艺</w:t>
            </w:r>
            <w:r>
              <w:rPr>
                <w:rFonts w:hint="default" w:ascii="Times New Roman" w:hAnsi="Times New Roman" w:cs="Times New Roman"/>
                <w:b/>
                <w:bCs/>
                <w:u w:val="single"/>
              </w:rPr>
              <w:t>特点</w:t>
            </w:r>
            <w:r>
              <w:rPr>
                <w:rFonts w:hint="default" w:ascii="Times New Roman" w:hAnsi="Times New Roman" w:cs="Times New Roman"/>
                <w:b/>
                <w:bCs/>
                <w:u w:val="single"/>
                <w:lang w:eastAsia="zh-CN"/>
              </w:rPr>
              <w:t>：</w:t>
            </w:r>
          </w:p>
          <w:p>
            <w:pPr>
              <w:bidi w:val="0"/>
              <w:jc w:val="both"/>
              <w:rPr>
                <w:rFonts w:hint="default" w:ascii="Times New Roman" w:hAnsi="Times New Roman" w:cs="Times New Roman"/>
                <w:u w:val="single"/>
              </w:rPr>
            </w:pPr>
            <w:r>
              <w:rPr>
                <w:rFonts w:hint="default" w:ascii="Times New Roman" w:hAnsi="Times New Roman" w:cs="Times New Roman"/>
                <w:u w:val="single"/>
              </w:rPr>
              <w:t>1</w:t>
            </w:r>
            <w:r>
              <w:rPr>
                <w:rFonts w:hint="eastAsia" w:cs="Times New Roman"/>
                <w:u w:val="single"/>
                <w:lang w:eastAsia="zh-CN"/>
              </w:rPr>
              <w:t>、处理能力大，装置简单，除臭效果好，占地面积小，投资和运行维护成本低</w:t>
            </w:r>
            <w:r>
              <w:rPr>
                <w:rFonts w:hint="default" w:ascii="Times New Roman" w:hAnsi="Times New Roman" w:cs="Times New Roman"/>
                <w:u w:val="single"/>
              </w:rPr>
              <w:t>。</w:t>
            </w:r>
          </w:p>
          <w:p>
            <w:pPr>
              <w:bidi w:val="0"/>
              <w:jc w:val="both"/>
              <w:rPr>
                <w:rFonts w:hint="default" w:ascii="Times New Roman" w:hAnsi="Times New Roman" w:cs="Times New Roman"/>
                <w:u w:val="single"/>
              </w:rPr>
            </w:pPr>
            <w:r>
              <w:rPr>
                <w:rFonts w:hint="default" w:ascii="Times New Roman" w:hAnsi="Times New Roman" w:cs="Times New Roman"/>
                <w:u w:val="single"/>
              </w:rPr>
              <w:t>2</w:t>
            </w:r>
            <w:r>
              <w:rPr>
                <w:rFonts w:hint="eastAsia" w:cs="Times New Roman"/>
                <w:u w:val="single"/>
                <w:lang w:eastAsia="zh-CN"/>
              </w:rPr>
              <w:t>、系统整合了气体过滤、生物净化等流程于一体，便于自动控制，操作简便</w:t>
            </w:r>
            <w:r>
              <w:rPr>
                <w:rFonts w:hint="default" w:ascii="Times New Roman" w:hAnsi="Times New Roman" w:cs="Times New Roman"/>
                <w:u w:val="single"/>
              </w:rPr>
              <w:t>。</w:t>
            </w:r>
          </w:p>
          <w:p>
            <w:pPr>
              <w:bidi w:val="0"/>
              <w:jc w:val="both"/>
              <w:rPr>
                <w:rFonts w:hint="default" w:ascii="Times New Roman" w:hAnsi="Times New Roman" w:cs="Times New Roman"/>
              </w:rPr>
            </w:pPr>
            <w:r>
              <w:rPr>
                <w:rFonts w:hint="default" w:ascii="Times New Roman" w:hAnsi="Times New Roman" w:cs="Times New Roman"/>
                <w:u w:val="single"/>
              </w:rPr>
              <w:t>3、</w:t>
            </w:r>
            <w:r>
              <w:rPr>
                <w:rFonts w:hint="eastAsia" w:cs="Times New Roman"/>
                <w:u w:val="single"/>
                <w:lang w:eastAsia="zh-CN"/>
              </w:rPr>
              <w:t>生物吸附塔清洗设备与转运站主体设备衔接灵活，有利于充分发挥转运站的社会效益和环境效益</w:t>
            </w:r>
            <w:r>
              <w:rPr>
                <w:rFonts w:hint="default" w:ascii="Times New Roman" w:hAnsi="Times New Roman" w:cs="Times New Roman"/>
              </w:rPr>
              <w:t>。</w:t>
            </w:r>
          </w:p>
          <w:p>
            <w:pPr>
              <w:bidi w:val="0"/>
              <w:ind w:left="0" w:leftChars="0" w:firstLine="0" w:firstLineChars="0"/>
              <w:jc w:val="both"/>
              <w:rPr>
                <w:rFonts w:hint="default" w:ascii="Times New Roman" w:hAnsi="Times New Roman" w:cs="Times New Roman"/>
                <w:b/>
                <w:bCs/>
                <w:u w:val="single"/>
              </w:rPr>
            </w:pPr>
            <w:r>
              <w:rPr>
                <w:rFonts w:hint="eastAsia" w:cs="Times New Roman"/>
                <w:b/>
                <w:bCs/>
                <w:u w:val="single"/>
                <w:lang w:eastAsia="zh-CN"/>
              </w:rPr>
              <w:t>（</w:t>
            </w:r>
            <w:r>
              <w:rPr>
                <w:rFonts w:hint="eastAsia" w:cs="Times New Roman"/>
                <w:b/>
                <w:bCs/>
                <w:u w:val="single"/>
                <w:lang w:val="en-US" w:eastAsia="zh-CN"/>
              </w:rPr>
              <w:t>3</w:t>
            </w:r>
            <w:r>
              <w:rPr>
                <w:rFonts w:hint="eastAsia" w:cs="Times New Roman"/>
                <w:b/>
                <w:bCs/>
                <w:u w:val="single"/>
                <w:lang w:eastAsia="zh-CN"/>
              </w:rPr>
              <w:t>）</w:t>
            </w:r>
            <w:r>
              <w:rPr>
                <w:rFonts w:hint="default" w:ascii="Times New Roman" w:hAnsi="Times New Roman" w:cs="Times New Roman"/>
                <w:b/>
                <w:bCs/>
                <w:u w:val="single"/>
              </w:rPr>
              <w:t>排气筒高度设置的合理性</w:t>
            </w:r>
          </w:p>
          <w:p>
            <w:pPr>
              <w:jc w:val="both"/>
              <w:rPr>
                <w:rFonts w:hint="default" w:ascii="Times New Roman" w:hAnsi="Times New Roman" w:cs="Times New Roman"/>
              </w:rPr>
            </w:pPr>
            <w:r>
              <w:rPr>
                <w:rFonts w:hint="default" w:ascii="Times New Roman" w:hAnsi="Times New Roman" w:cs="Times New Roman"/>
                <w:u w:val="single"/>
              </w:rPr>
              <w:t>根据《大气污染物综合排放标准》（GB16297-1996）</w:t>
            </w:r>
            <w:r>
              <w:rPr>
                <w:rFonts w:hint="eastAsia" w:cs="Times New Roman"/>
                <w:u w:val="single"/>
                <w:lang w:eastAsia="zh-CN"/>
              </w:rPr>
              <w:t>中“</w:t>
            </w:r>
            <w:r>
              <w:rPr>
                <w:rFonts w:hint="default" w:ascii="Times New Roman" w:hAnsi="Times New Roman" w:cs="Times New Roman"/>
                <w:u w:val="single"/>
              </w:rPr>
              <w:t>7.4新污染源的排气筒一般不低于15米</w:t>
            </w:r>
            <w:r>
              <w:rPr>
                <w:rFonts w:hint="eastAsia" w:cs="Times New Roman"/>
                <w:u w:val="single"/>
                <w:lang w:eastAsia="zh-CN"/>
              </w:rPr>
              <w:t>”</w:t>
            </w:r>
            <w:r>
              <w:rPr>
                <w:rFonts w:hint="default" w:ascii="Times New Roman" w:hAnsi="Times New Roman" w:cs="Times New Roman"/>
                <w:u w:val="single"/>
              </w:rPr>
              <w:t>及</w:t>
            </w:r>
            <w:r>
              <w:rPr>
                <w:rFonts w:hint="eastAsia" w:cs="Times New Roman"/>
                <w:u w:val="single"/>
                <w:lang w:eastAsia="zh-CN"/>
              </w:rPr>
              <w:t>“</w:t>
            </w:r>
            <w:r>
              <w:rPr>
                <w:rFonts w:hint="default" w:ascii="Times New Roman" w:hAnsi="Times New Roman" w:cs="Times New Roman"/>
                <w:u w:val="single"/>
              </w:rPr>
              <w:t>7.1还应高于周围建筑200米半径范围的建筑5米以上</w:t>
            </w:r>
            <w:r>
              <w:rPr>
                <w:rFonts w:hint="eastAsia" w:cs="Times New Roman"/>
                <w:u w:val="single"/>
                <w:lang w:eastAsia="zh-CN"/>
              </w:rPr>
              <w:t>”；根据《恶臭污染物排放标准》（</w:t>
            </w:r>
            <w:r>
              <w:rPr>
                <w:rFonts w:hint="eastAsia" w:cs="Times New Roman"/>
                <w:u w:val="single"/>
                <w:lang w:val="en-US" w:eastAsia="zh-CN"/>
              </w:rPr>
              <w:t>GB14554-93</w:t>
            </w:r>
            <w:r>
              <w:rPr>
                <w:rFonts w:hint="eastAsia" w:cs="Times New Roman"/>
                <w:u w:val="single"/>
                <w:lang w:eastAsia="zh-CN"/>
              </w:rPr>
              <w:t>）中“排气筒的最低高度不得低于</w:t>
            </w:r>
            <w:r>
              <w:rPr>
                <w:rFonts w:hint="eastAsia" w:cs="Times New Roman"/>
                <w:u w:val="single"/>
                <w:lang w:val="en-US" w:eastAsia="zh-CN"/>
              </w:rPr>
              <w:t>15m</w:t>
            </w:r>
            <w:r>
              <w:rPr>
                <w:rFonts w:hint="eastAsia" w:cs="Times New Roman"/>
                <w:u w:val="single"/>
                <w:lang w:eastAsia="zh-CN"/>
              </w:rPr>
              <w:t>”</w:t>
            </w:r>
            <w:r>
              <w:rPr>
                <w:rFonts w:hint="default" w:ascii="Times New Roman" w:hAnsi="Times New Roman" w:cs="Times New Roman"/>
                <w:u w:val="single"/>
              </w:rPr>
              <w:t>。根据实地勘察以及项目平面布局情况，</w:t>
            </w:r>
            <w:r>
              <w:rPr>
                <w:rFonts w:hint="default" w:ascii="Times New Roman" w:hAnsi="Times New Roman" w:cs="Times New Roman"/>
                <w:highlight w:val="none"/>
                <w:u w:val="single"/>
              </w:rPr>
              <w:t>项目</w:t>
            </w:r>
            <w:r>
              <w:rPr>
                <w:rFonts w:hint="default" w:ascii="Times New Roman" w:hAnsi="Times New Roman" w:cs="Times New Roman"/>
                <w:highlight w:val="none"/>
                <w:u w:val="single"/>
                <w:lang w:val="en-US" w:eastAsia="zh-CN"/>
              </w:rPr>
              <w:t>压缩车间</w:t>
            </w:r>
            <w:r>
              <w:rPr>
                <w:rFonts w:hint="default" w:ascii="Times New Roman" w:hAnsi="Times New Roman" w:cs="Times New Roman"/>
                <w:highlight w:val="none"/>
                <w:u w:val="single"/>
              </w:rPr>
              <w:t>位于其整个选址的</w:t>
            </w:r>
            <w:r>
              <w:rPr>
                <w:rFonts w:hint="eastAsia" w:cs="Times New Roman"/>
                <w:highlight w:val="none"/>
                <w:u w:val="single"/>
                <w:lang w:val="en-US" w:eastAsia="zh-CN"/>
              </w:rPr>
              <w:t>北</w:t>
            </w:r>
            <w:r>
              <w:rPr>
                <w:rFonts w:hint="default" w:ascii="Times New Roman" w:hAnsi="Times New Roman" w:cs="Times New Roman"/>
                <w:highlight w:val="none"/>
                <w:u w:val="single"/>
              </w:rPr>
              <w:t>部，</w:t>
            </w:r>
            <w:r>
              <w:rPr>
                <w:rFonts w:hint="default" w:ascii="Times New Roman" w:hAnsi="Times New Roman" w:cs="Times New Roman"/>
                <w:u w:val="single"/>
              </w:rPr>
              <w:t>根据项目周边200m半径范围内的建筑物，其排气筒高度按照规范应设置为15m，因此，只需设置15m排气筒即可，项目排气筒位置及高度均严格按生产工艺特征、国家标准进行设置，综上可知，项目拟设排气筒高度较为合理。</w:t>
            </w:r>
          </w:p>
          <w:p>
            <w:pPr>
              <w:pStyle w:val="30"/>
              <w:numPr>
                <w:ilvl w:val="0"/>
                <w:numId w:val="0"/>
              </w:numPr>
              <w:ind w:leftChars="0"/>
              <w:rPr>
                <w:rFonts w:hint="eastAsia" w:cs="Times New Roman"/>
                <w:b/>
                <w:bCs/>
                <w:u w:val="single"/>
                <w:lang w:eastAsia="zh-CN"/>
              </w:rPr>
            </w:pPr>
            <w:r>
              <w:rPr>
                <w:rFonts w:hint="eastAsia" w:cs="Times New Roman"/>
                <w:b/>
                <w:bCs/>
                <w:u w:val="single"/>
                <w:lang w:eastAsia="zh-CN"/>
              </w:rPr>
              <w:t>（</w:t>
            </w:r>
            <w:r>
              <w:rPr>
                <w:rFonts w:hint="eastAsia" w:cs="Times New Roman"/>
                <w:b/>
                <w:bCs/>
                <w:u w:val="single"/>
                <w:lang w:val="en-US" w:eastAsia="zh-CN"/>
              </w:rPr>
              <w:t>4</w:t>
            </w:r>
            <w:r>
              <w:rPr>
                <w:rFonts w:hint="eastAsia" w:cs="Times New Roman"/>
                <w:b/>
                <w:bCs/>
                <w:u w:val="single"/>
                <w:lang w:eastAsia="zh-CN"/>
              </w:rPr>
              <w:t>）大气环境影响评价结论</w:t>
            </w:r>
          </w:p>
          <w:p>
            <w:pPr>
              <w:bidi w:val="0"/>
              <w:rPr>
                <w:rFonts w:hint="eastAsia"/>
                <w:u w:val="single"/>
                <w:lang w:eastAsia="zh-CN"/>
              </w:rPr>
            </w:pPr>
            <w:r>
              <w:rPr>
                <w:rFonts w:hint="eastAsia"/>
                <w:u w:val="single"/>
                <w:lang w:eastAsia="zh-CN"/>
              </w:rPr>
              <w:t>根据前文源强核算，本项目废气排放达标情况如下表</w:t>
            </w:r>
          </w:p>
          <w:p>
            <w:pPr>
              <w:pStyle w:val="45"/>
              <w:bidi w:val="0"/>
              <w:rPr>
                <w:rFonts w:hint="eastAsia"/>
                <w:u w:val="single"/>
                <w:lang w:eastAsia="zh-CN"/>
              </w:rPr>
            </w:pPr>
            <w:r>
              <w:rPr>
                <w:rFonts w:hint="eastAsia"/>
                <w:u w:val="single"/>
                <w:lang w:eastAsia="zh-CN"/>
              </w:rPr>
              <w:t>表</w:t>
            </w:r>
            <w:r>
              <w:rPr>
                <w:rFonts w:hint="eastAsia"/>
                <w:u w:val="single"/>
                <w:lang w:val="en-US" w:eastAsia="zh-CN"/>
              </w:rPr>
              <w:t xml:space="preserve">  </w:t>
            </w:r>
            <w:r>
              <w:rPr>
                <w:rFonts w:hint="eastAsia"/>
                <w:u w:val="single"/>
                <w:lang w:eastAsia="zh-CN"/>
              </w:rPr>
              <w:t>有组织废气排放达标情况</w:t>
            </w:r>
          </w:p>
          <w:tbl>
            <w:tblPr>
              <w:tblStyle w:val="32"/>
              <w:tblW w:w="8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232"/>
              <w:gridCol w:w="1233"/>
              <w:gridCol w:w="1233"/>
              <w:gridCol w:w="1233"/>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vAlign w:val="center"/>
                </w:tcPr>
                <w:p>
                  <w:pPr>
                    <w:pStyle w:val="38"/>
                    <w:bidi w:val="0"/>
                    <w:jc w:val="center"/>
                    <w:rPr>
                      <w:rFonts w:hint="eastAsia"/>
                      <w:b/>
                      <w:bCs/>
                      <w:u w:val="single"/>
                      <w:lang w:eastAsia="zh-CN"/>
                    </w:rPr>
                  </w:pPr>
                  <w:r>
                    <w:rPr>
                      <w:rFonts w:hint="eastAsia"/>
                      <w:b/>
                      <w:bCs/>
                      <w:u w:val="single"/>
                      <w:lang w:eastAsia="zh-CN"/>
                    </w:rPr>
                    <w:t>污染因子</w:t>
                  </w:r>
                </w:p>
              </w:tc>
              <w:tc>
                <w:tcPr>
                  <w:tcW w:w="3698" w:type="dxa"/>
                  <w:gridSpan w:val="3"/>
                  <w:vAlign w:val="center"/>
                </w:tcPr>
                <w:p>
                  <w:pPr>
                    <w:pStyle w:val="38"/>
                    <w:bidi w:val="0"/>
                    <w:jc w:val="center"/>
                    <w:rPr>
                      <w:rFonts w:hint="eastAsia"/>
                      <w:b/>
                      <w:bCs/>
                      <w:u w:val="single"/>
                      <w:lang w:eastAsia="zh-CN"/>
                    </w:rPr>
                  </w:pPr>
                  <w:r>
                    <w:rPr>
                      <w:rFonts w:hint="eastAsia"/>
                      <w:b/>
                      <w:bCs/>
                      <w:u w:val="single"/>
                      <w:lang w:eastAsia="zh-CN"/>
                    </w:rPr>
                    <w:t>执行标准</w:t>
                  </w:r>
                </w:p>
              </w:tc>
              <w:tc>
                <w:tcPr>
                  <w:tcW w:w="2466" w:type="dxa"/>
                  <w:gridSpan w:val="2"/>
                  <w:vMerge w:val="restart"/>
                  <w:vAlign w:val="center"/>
                </w:tcPr>
                <w:p>
                  <w:pPr>
                    <w:pStyle w:val="38"/>
                    <w:bidi w:val="0"/>
                    <w:jc w:val="center"/>
                    <w:rPr>
                      <w:rFonts w:hint="eastAsia"/>
                      <w:b/>
                      <w:bCs/>
                      <w:u w:val="single"/>
                      <w:lang w:eastAsia="zh-CN"/>
                    </w:rPr>
                  </w:pPr>
                  <w:r>
                    <w:rPr>
                      <w:rFonts w:hint="eastAsia"/>
                      <w:b/>
                      <w:bCs/>
                      <w:u w:val="single"/>
                      <w:lang w:eastAsia="zh-CN"/>
                    </w:rPr>
                    <w:t>排放情况</w:t>
                  </w:r>
                </w:p>
              </w:tc>
              <w:tc>
                <w:tcPr>
                  <w:tcW w:w="1233" w:type="dxa"/>
                  <w:vMerge w:val="restart"/>
                  <w:vAlign w:val="center"/>
                </w:tcPr>
                <w:p>
                  <w:pPr>
                    <w:pStyle w:val="38"/>
                    <w:bidi w:val="0"/>
                    <w:jc w:val="center"/>
                    <w:rPr>
                      <w:rFonts w:hint="eastAsia"/>
                      <w:b/>
                      <w:bCs/>
                      <w:u w:val="single"/>
                      <w:lang w:eastAsia="zh-CN"/>
                    </w:rPr>
                  </w:pPr>
                  <w:r>
                    <w:rPr>
                      <w:rFonts w:hint="eastAsia"/>
                      <w:b/>
                      <w:bCs/>
                      <w:u w:val="single"/>
                      <w:lang w:eastAsia="zh-CN"/>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pStyle w:val="38"/>
                    <w:bidi w:val="0"/>
                    <w:jc w:val="center"/>
                    <w:rPr>
                      <w:rFonts w:hint="eastAsia"/>
                      <w:b/>
                      <w:bCs/>
                      <w:u w:val="single"/>
                      <w:lang w:eastAsia="zh-CN"/>
                    </w:rPr>
                  </w:pPr>
                </w:p>
              </w:tc>
              <w:tc>
                <w:tcPr>
                  <w:tcW w:w="1232" w:type="dxa"/>
                  <w:vMerge w:val="restart"/>
                  <w:vAlign w:val="center"/>
                </w:tcPr>
                <w:p>
                  <w:pPr>
                    <w:pStyle w:val="38"/>
                    <w:bidi w:val="0"/>
                    <w:jc w:val="center"/>
                    <w:rPr>
                      <w:rFonts w:hint="eastAsia"/>
                      <w:b/>
                      <w:bCs/>
                      <w:u w:val="single"/>
                      <w:lang w:eastAsia="zh-CN"/>
                    </w:rPr>
                  </w:pPr>
                </w:p>
              </w:tc>
              <w:tc>
                <w:tcPr>
                  <w:tcW w:w="2466" w:type="dxa"/>
                  <w:gridSpan w:val="2"/>
                  <w:vAlign w:val="center"/>
                </w:tcPr>
                <w:p>
                  <w:pPr>
                    <w:pStyle w:val="38"/>
                    <w:bidi w:val="0"/>
                    <w:jc w:val="center"/>
                    <w:rPr>
                      <w:rFonts w:hint="eastAsia"/>
                      <w:b/>
                      <w:bCs/>
                      <w:u w:val="single"/>
                      <w:lang w:eastAsia="zh-CN"/>
                    </w:rPr>
                  </w:pPr>
                  <w:r>
                    <w:rPr>
                      <w:rFonts w:hint="eastAsia"/>
                      <w:b/>
                      <w:bCs/>
                      <w:u w:val="single"/>
                      <w:lang w:eastAsia="zh-CN"/>
                    </w:rPr>
                    <w:t>标准值</w:t>
                  </w:r>
                </w:p>
              </w:tc>
              <w:tc>
                <w:tcPr>
                  <w:tcW w:w="2466" w:type="dxa"/>
                  <w:gridSpan w:val="2"/>
                  <w:vMerge w:val="continue"/>
                  <w:vAlign w:val="center"/>
                </w:tcPr>
                <w:p>
                  <w:pPr>
                    <w:pStyle w:val="38"/>
                    <w:bidi w:val="0"/>
                    <w:jc w:val="center"/>
                    <w:rPr>
                      <w:rFonts w:hint="eastAsia"/>
                      <w:b/>
                      <w:bCs/>
                      <w:u w:val="single"/>
                      <w:lang w:eastAsia="zh-CN"/>
                    </w:rPr>
                  </w:pPr>
                </w:p>
              </w:tc>
              <w:tc>
                <w:tcPr>
                  <w:tcW w:w="1233" w:type="dxa"/>
                  <w:vMerge w:val="continue"/>
                  <w:vAlign w:val="center"/>
                </w:tcPr>
                <w:p>
                  <w:pPr>
                    <w:pStyle w:val="38"/>
                    <w:bidi w:val="0"/>
                    <w:jc w:val="center"/>
                    <w:rPr>
                      <w:rFonts w:hint="eastAsia"/>
                      <w:b/>
                      <w:bCs/>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pStyle w:val="38"/>
                    <w:bidi w:val="0"/>
                    <w:jc w:val="center"/>
                    <w:rPr>
                      <w:rFonts w:hint="eastAsia"/>
                      <w:b/>
                      <w:bCs/>
                      <w:u w:val="single"/>
                      <w:lang w:eastAsia="zh-CN"/>
                    </w:rPr>
                  </w:pPr>
                </w:p>
              </w:tc>
              <w:tc>
                <w:tcPr>
                  <w:tcW w:w="1232" w:type="dxa"/>
                  <w:vMerge w:val="continue"/>
                  <w:vAlign w:val="center"/>
                </w:tcPr>
                <w:p>
                  <w:pPr>
                    <w:pStyle w:val="38"/>
                    <w:bidi w:val="0"/>
                    <w:jc w:val="center"/>
                    <w:rPr>
                      <w:rFonts w:hint="eastAsia"/>
                      <w:b/>
                      <w:bCs/>
                      <w:u w:val="single"/>
                      <w:lang w:eastAsia="zh-CN"/>
                    </w:rPr>
                  </w:pPr>
                </w:p>
              </w:tc>
              <w:tc>
                <w:tcPr>
                  <w:tcW w:w="1233" w:type="dxa"/>
                  <w:vAlign w:val="center"/>
                </w:tcPr>
                <w:p>
                  <w:pPr>
                    <w:pStyle w:val="38"/>
                    <w:bidi w:val="0"/>
                    <w:jc w:val="center"/>
                    <w:rPr>
                      <w:rFonts w:hint="eastAsia"/>
                      <w:b/>
                      <w:bCs/>
                      <w:u w:val="single"/>
                      <w:lang w:eastAsia="zh-CN"/>
                    </w:rPr>
                  </w:pPr>
                  <w:r>
                    <w:rPr>
                      <w:rFonts w:hint="eastAsia"/>
                      <w:b/>
                      <w:bCs/>
                      <w:u w:val="single"/>
                      <w:lang w:eastAsia="zh-CN"/>
                    </w:rPr>
                    <w:t>排放浓度</w:t>
                  </w:r>
                </w:p>
              </w:tc>
              <w:tc>
                <w:tcPr>
                  <w:tcW w:w="1233" w:type="dxa"/>
                  <w:vAlign w:val="center"/>
                </w:tcPr>
                <w:p>
                  <w:pPr>
                    <w:pStyle w:val="38"/>
                    <w:bidi w:val="0"/>
                    <w:jc w:val="center"/>
                    <w:rPr>
                      <w:rFonts w:hint="eastAsia"/>
                      <w:b/>
                      <w:bCs/>
                      <w:u w:val="single"/>
                      <w:lang w:eastAsia="zh-CN"/>
                    </w:rPr>
                  </w:pPr>
                  <w:r>
                    <w:rPr>
                      <w:rFonts w:hint="eastAsia"/>
                      <w:b/>
                      <w:bCs/>
                      <w:u w:val="single"/>
                      <w:lang w:eastAsia="zh-CN"/>
                    </w:rPr>
                    <w:t>排放量</w:t>
                  </w:r>
                </w:p>
              </w:tc>
              <w:tc>
                <w:tcPr>
                  <w:tcW w:w="1233" w:type="dxa"/>
                  <w:vAlign w:val="center"/>
                </w:tcPr>
                <w:p>
                  <w:pPr>
                    <w:pStyle w:val="38"/>
                    <w:bidi w:val="0"/>
                    <w:jc w:val="center"/>
                    <w:rPr>
                      <w:rFonts w:hint="eastAsia"/>
                      <w:b/>
                      <w:bCs/>
                      <w:u w:val="single"/>
                      <w:lang w:eastAsia="zh-CN"/>
                    </w:rPr>
                  </w:pPr>
                  <w:r>
                    <w:rPr>
                      <w:rFonts w:hint="eastAsia"/>
                      <w:b/>
                      <w:bCs/>
                      <w:u w:val="single"/>
                      <w:lang w:eastAsia="zh-CN"/>
                    </w:rPr>
                    <w:t>排放浓度</w:t>
                  </w:r>
                </w:p>
              </w:tc>
              <w:tc>
                <w:tcPr>
                  <w:tcW w:w="1233" w:type="dxa"/>
                  <w:vAlign w:val="center"/>
                </w:tcPr>
                <w:p>
                  <w:pPr>
                    <w:pStyle w:val="38"/>
                    <w:bidi w:val="0"/>
                    <w:jc w:val="center"/>
                    <w:rPr>
                      <w:rFonts w:hint="eastAsia"/>
                      <w:b/>
                      <w:bCs/>
                      <w:u w:val="single"/>
                      <w:lang w:eastAsia="zh-CN"/>
                    </w:rPr>
                  </w:pPr>
                  <w:r>
                    <w:rPr>
                      <w:rFonts w:hint="eastAsia"/>
                      <w:b/>
                      <w:bCs/>
                      <w:u w:val="single"/>
                      <w:lang w:eastAsia="zh-CN"/>
                    </w:rPr>
                    <w:t>排放量</w:t>
                  </w:r>
                </w:p>
              </w:tc>
              <w:tc>
                <w:tcPr>
                  <w:tcW w:w="1233" w:type="dxa"/>
                  <w:vMerge w:val="continue"/>
                  <w:vAlign w:val="center"/>
                </w:tcPr>
                <w:p>
                  <w:pPr>
                    <w:pStyle w:val="38"/>
                    <w:bidi w:val="0"/>
                    <w:jc w:val="center"/>
                    <w:rPr>
                      <w:rFonts w:hint="eastAsia"/>
                      <w:b/>
                      <w:bCs/>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Align w:val="center"/>
                </w:tcPr>
                <w:p>
                  <w:pPr>
                    <w:pStyle w:val="38"/>
                    <w:bidi w:val="0"/>
                    <w:jc w:val="center"/>
                    <w:rPr>
                      <w:rFonts w:hint="eastAsia"/>
                      <w:u w:val="single"/>
                      <w:lang w:eastAsia="zh-CN"/>
                    </w:rPr>
                  </w:pPr>
                  <w:r>
                    <w:rPr>
                      <w:rFonts w:hint="eastAsia"/>
                      <w:u w:val="single"/>
                      <w:lang w:eastAsia="zh-CN"/>
                    </w:rPr>
                    <w:t>颗粒物</w:t>
                  </w:r>
                </w:p>
              </w:tc>
              <w:tc>
                <w:tcPr>
                  <w:tcW w:w="1232" w:type="dxa"/>
                  <w:vAlign w:val="center"/>
                </w:tcPr>
                <w:p>
                  <w:pPr>
                    <w:pStyle w:val="38"/>
                    <w:bidi w:val="0"/>
                    <w:jc w:val="center"/>
                    <w:rPr>
                      <w:rFonts w:hint="eastAsia"/>
                      <w:u w:val="single"/>
                      <w:lang w:eastAsia="zh-CN"/>
                    </w:rPr>
                  </w:pPr>
                  <w:r>
                    <w:rPr>
                      <w:rFonts w:hint="eastAsia"/>
                      <w:u w:val="single"/>
                      <w:lang w:eastAsia="zh-CN"/>
                    </w:rPr>
                    <w:t>《大气污染物综合排放标准》(GB16297-1996 )表2中的二级标准</w:t>
                  </w:r>
                </w:p>
              </w:tc>
              <w:tc>
                <w:tcPr>
                  <w:tcW w:w="1233" w:type="dxa"/>
                  <w:vAlign w:val="center"/>
                </w:tcPr>
                <w:p>
                  <w:pPr>
                    <w:pStyle w:val="38"/>
                    <w:bidi w:val="0"/>
                    <w:jc w:val="center"/>
                    <w:rPr>
                      <w:rFonts w:hint="default"/>
                      <w:b w:val="0"/>
                      <w:bCs w:val="0"/>
                      <w:u w:val="single"/>
                      <w:lang w:val="en-US" w:eastAsia="zh-CN"/>
                    </w:rPr>
                  </w:pPr>
                  <w:r>
                    <w:rPr>
                      <w:rFonts w:ascii="Times New Roman" w:hAnsi="Times New Roman" w:cs="Times New Roman"/>
                      <w:b w:val="0"/>
                      <w:bCs w:val="0"/>
                      <w:szCs w:val="21"/>
                      <w:u w:val="single"/>
                    </w:rPr>
                    <w:t>120mg/m³</w:t>
                  </w:r>
                </w:p>
              </w:tc>
              <w:tc>
                <w:tcPr>
                  <w:tcW w:w="1233" w:type="dxa"/>
                  <w:vAlign w:val="center"/>
                </w:tcPr>
                <w:p>
                  <w:pPr>
                    <w:pStyle w:val="38"/>
                    <w:bidi w:val="0"/>
                    <w:jc w:val="center"/>
                    <w:rPr>
                      <w:rFonts w:hint="eastAsia"/>
                      <w:b w:val="0"/>
                      <w:bCs w:val="0"/>
                      <w:u w:val="single"/>
                      <w:lang w:eastAsia="zh-CN"/>
                    </w:rPr>
                  </w:pPr>
                  <w:r>
                    <w:rPr>
                      <w:rFonts w:hint="eastAsia"/>
                      <w:b w:val="0"/>
                      <w:bCs w:val="0"/>
                      <w:u w:val="single"/>
                      <w:lang w:val="en-US" w:eastAsia="zh-CN"/>
                    </w:rPr>
                    <w:t>3.5</w:t>
                  </w:r>
                  <w:r>
                    <w:rPr>
                      <w:rFonts w:ascii="Times New Roman" w:hAnsi="Times New Roman" w:cs="Times New Roman"/>
                      <w:b w:val="0"/>
                      <w:bCs w:val="0"/>
                      <w:szCs w:val="21"/>
                      <w:u w:val="single"/>
                    </w:rPr>
                    <w:t>kg/h</w:t>
                  </w:r>
                </w:p>
              </w:tc>
              <w:tc>
                <w:tcPr>
                  <w:tcW w:w="1233" w:type="dxa"/>
                  <w:vAlign w:val="center"/>
                </w:tcPr>
                <w:p>
                  <w:pPr>
                    <w:pStyle w:val="38"/>
                    <w:bidi w:val="0"/>
                    <w:jc w:val="center"/>
                    <w:rPr>
                      <w:rFonts w:hint="default"/>
                      <w:b w:val="0"/>
                      <w:bCs w:val="0"/>
                      <w:u w:val="single"/>
                      <w:lang w:val="en-US" w:eastAsia="zh-CN"/>
                    </w:rPr>
                  </w:pPr>
                  <w:r>
                    <w:rPr>
                      <w:rFonts w:hint="eastAsia"/>
                      <w:b w:val="0"/>
                      <w:bCs w:val="0"/>
                      <w:u w:val="single"/>
                      <w:lang w:val="en-US" w:eastAsia="zh-CN"/>
                    </w:rPr>
                    <w:t>0.67</w:t>
                  </w:r>
                  <w:r>
                    <w:rPr>
                      <w:rFonts w:ascii="Times New Roman" w:hAnsi="Times New Roman" w:cs="Times New Roman"/>
                      <w:b w:val="0"/>
                      <w:bCs w:val="0"/>
                      <w:szCs w:val="21"/>
                      <w:u w:val="single"/>
                    </w:rPr>
                    <w:t>mg/m³</w:t>
                  </w:r>
                </w:p>
              </w:tc>
              <w:tc>
                <w:tcPr>
                  <w:tcW w:w="1233" w:type="dxa"/>
                  <w:vAlign w:val="center"/>
                </w:tcPr>
                <w:p>
                  <w:pPr>
                    <w:pStyle w:val="38"/>
                    <w:bidi w:val="0"/>
                    <w:jc w:val="center"/>
                    <w:rPr>
                      <w:rFonts w:hint="default"/>
                      <w:b w:val="0"/>
                      <w:bCs w:val="0"/>
                      <w:u w:val="single"/>
                      <w:lang w:val="en-US" w:eastAsia="zh-CN"/>
                    </w:rPr>
                  </w:pPr>
                  <w:r>
                    <w:rPr>
                      <w:rFonts w:hint="eastAsia"/>
                      <w:b w:val="0"/>
                      <w:bCs w:val="0"/>
                      <w:u w:val="single"/>
                      <w:lang w:val="en-US" w:eastAsia="zh-CN"/>
                    </w:rPr>
                    <w:t>0.04</w:t>
                  </w:r>
                  <w:r>
                    <w:rPr>
                      <w:rFonts w:ascii="Times New Roman" w:hAnsi="Times New Roman" w:cs="Times New Roman"/>
                      <w:b w:val="0"/>
                      <w:bCs w:val="0"/>
                      <w:szCs w:val="21"/>
                      <w:u w:val="single"/>
                    </w:rPr>
                    <w:t>kg/h</w:t>
                  </w:r>
                </w:p>
              </w:tc>
              <w:tc>
                <w:tcPr>
                  <w:tcW w:w="1233" w:type="dxa"/>
                  <w:vAlign w:val="center"/>
                </w:tcPr>
                <w:p>
                  <w:pPr>
                    <w:pStyle w:val="38"/>
                    <w:bidi w:val="0"/>
                    <w:jc w:val="center"/>
                    <w:rPr>
                      <w:rFonts w:hint="eastAsia"/>
                      <w:u w:val="single"/>
                      <w:lang w:eastAsia="zh-CN"/>
                    </w:rPr>
                  </w:pPr>
                  <w:r>
                    <w:rPr>
                      <w:rFonts w:hint="eastAsia"/>
                      <w:u w:val="singl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Align w:val="center"/>
                </w:tcPr>
                <w:p>
                  <w:pPr>
                    <w:pStyle w:val="38"/>
                    <w:bidi w:val="0"/>
                    <w:ind w:firstLine="0" w:firstLineChars="0"/>
                    <w:jc w:val="center"/>
                    <w:rPr>
                      <w:rFonts w:hint="eastAsia" w:ascii="Times New Roman" w:hAnsi="Times New Roman" w:eastAsia="宋体" w:cs="Times New Roman"/>
                      <w:sz w:val="21"/>
                      <w:szCs w:val="21"/>
                      <w:u w:val="single"/>
                      <w:lang w:val="zh-CN" w:eastAsia="zh-CN" w:bidi="zh-CN"/>
                    </w:rPr>
                  </w:pPr>
                  <w:r>
                    <w:rPr>
                      <w:rFonts w:hint="default" w:ascii="Times New Roman" w:hAnsi="Times New Roman" w:cs="Times New Roman"/>
                      <w:u w:val="single"/>
                    </w:rPr>
                    <w:t>氨</w:t>
                  </w:r>
                </w:p>
              </w:tc>
              <w:tc>
                <w:tcPr>
                  <w:tcW w:w="1232" w:type="dxa"/>
                  <w:vMerge w:val="restart"/>
                  <w:vAlign w:val="center"/>
                </w:tcPr>
                <w:p>
                  <w:pPr>
                    <w:pStyle w:val="38"/>
                    <w:bidi w:val="0"/>
                    <w:jc w:val="center"/>
                    <w:rPr>
                      <w:rFonts w:hint="eastAsia"/>
                      <w:u w:val="single"/>
                      <w:lang w:eastAsia="zh-CN"/>
                    </w:rPr>
                  </w:pPr>
                  <w:r>
                    <w:rPr>
                      <w:rFonts w:hint="eastAsia"/>
                      <w:u w:val="single"/>
                      <w:lang w:eastAsia="zh-CN"/>
                    </w:rPr>
                    <w:t>《恶臭污染物排放标准》</w:t>
                  </w:r>
                  <w:r>
                    <w:rPr>
                      <w:rFonts w:hint="default" w:ascii="Times New Roman" w:hAnsi="Times New Roman" w:cs="Times New Roman"/>
                      <w:u w:val="single"/>
                    </w:rPr>
                    <w:t>（GB14554-93）</w:t>
                  </w:r>
                </w:p>
              </w:tc>
              <w:tc>
                <w:tcPr>
                  <w:tcW w:w="1233" w:type="dxa"/>
                  <w:vAlign w:val="center"/>
                </w:tcPr>
                <w:p>
                  <w:pPr>
                    <w:pStyle w:val="38"/>
                    <w:bidi w:val="0"/>
                    <w:jc w:val="center"/>
                    <w:rPr>
                      <w:rFonts w:hint="default"/>
                      <w:u w:val="single"/>
                      <w:lang w:val="en-US" w:eastAsia="zh-CN"/>
                    </w:rPr>
                  </w:pPr>
                  <w:r>
                    <w:rPr>
                      <w:rFonts w:hint="eastAsia"/>
                      <w:u w:val="single"/>
                      <w:lang w:val="en-US" w:eastAsia="zh-CN"/>
                    </w:rPr>
                    <w:t>1.5</w:t>
                  </w:r>
                  <w:r>
                    <w:rPr>
                      <w:rFonts w:ascii="Times New Roman" w:hAnsi="Times New Roman" w:cs="Times New Roman"/>
                      <w:b w:val="0"/>
                      <w:bCs w:val="0"/>
                      <w:szCs w:val="21"/>
                      <w:u w:val="single"/>
                    </w:rPr>
                    <w:t>mg/m³</w:t>
                  </w:r>
                </w:p>
              </w:tc>
              <w:tc>
                <w:tcPr>
                  <w:tcW w:w="1233" w:type="dxa"/>
                  <w:vAlign w:val="center"/>
                </w:tcPr>
                <w:p>
                  <w:pPr>
                    <w:pStyle w:val="38"/>
                    <w:bidi w:val="0"/>
                    <w:jc w:val="center"/>
                    <w:rPr>
                      <w:rFonts w:hint="default"/>
                      <w:u w:val="single"/>
                      <w:lang w:val="en-US" w:eastAsia="zh-CN"/>
                    </w:rPr>
                  </w:pPr>
                  <w:r>
                    <w:rPr>
                      <w:rFonts w:hint="eastAsia"/>
                      <w:u w:val="single"/>
                      <w:lang w:val="en-US" w:eastAsia="zh-CN"/>
                    </w:rPr>
                    <w:t>4.9</w:t>
                  </w:r>
                  <w:r>
                    <w:rPr>
                      <w:rFonts w:ascii="Times New Roman" w:hAnsi="Times New Roman" w:cs="Times New Roman"/>
                      <w:b w:val="0"/>
                      <w:bCs w:val="0"/>
                      <w:szCs w:val="21"/>
                      <w:u w:val="single"/>
                    </w:rPr>
                    <w:t>kg/h</w:t>
                  </w:r>
                </w:p>
              </w:tc>
              <w:tc>
                <w:tcPr>
                  <w:tcW w:w="1233" w:type="dxa"/>
                  <w:vAlign w:val="center"/>
                </w:tcPr>
                <w:p>
                  <w:pPr>
                    <w:pStyle w:val="38"/>
                    <w:bidi w:val="0"/>
                    <w:ind w:firstLine="0" w:firstLineChars="0"/>
                    <w:jc w:val="center"/>
                    <w:rPr>
                      <w:rFonts w:hint="eastAsia"/>
                      <w:u w:val="single"/>
                      <w:lang w:eastAsia="zh-CN"/>
                    </w:rPr>
                  </w:pPr>
                  <w:r>
                    <w:rPr>
                      <w:rFonts w:hint="eastAsia"/>
                      <w:b w:val="0"/>
                      <w:bCs w:val="0"/>
                      <w:u w:val="single"/>
                      <w:lang w:val="en-US" w:eastAsia="zh-CN"/>
                    </w:rPr>
                    <w:t>0.003</w:t>
                  </w:r>
                  <w:r>
                    <w:rPr>
                      <w:rFonts w:ascii="Times New Roman" w:hAnsi="Times New Roman" w:cs="Times New Roman"/>
                      <w:b w:val="0"/>
                      <w:bCs w:val="0"/>
                      <w:szCs w:val="21"/>
                      <w:u w:val="single"/>
                    </w:rPr>
                    <w:t>mg/m³</w:t>
                  </w:r>
                </w:p>
              </w:tc>
              <w:tc>
                <w:tcPr>
                  <w:tcW w:w="1233" w:type="dxa"/>
                  <w:vAlign w:val="center"/>
                </w:tcPr>
                <w:p>
                  <w:pPr>
                    <w:pStyle w:val="38"/>
                    <w:bidi w:val="0"/>
                    <w:ind w:firstLine="0" w:firstLineChars="0"/>
                    <w:jc w:val="center"/>
                    <w:rPr>
                      <w:rFonts w:hint="eastAsia"/>
                      <w:u w:val="single"/>
                      <w:lang w:eastAsia="zh-CN"/>
                    </w:rPr>
                  </w:pPr>
                  <w:r>
                    <w:rPr>
                      <w:rFonts w:hint="eastAsia"/>
                      <w:b w:val="0"/>
                      <w:bCs w:val="0"/>
                      <w:u w:val="single"/>
                      <w:lang w:val="en-US" w:eastAsia="zh-CN"/>
                    </w:rPr>
                    <w:t>0.0002</w:t>
                  </w:r>
                  <w:r>
                    <w:rPr>
                      <w:rFonts w:ascii="Times New Roman" w:hAnsi="Times New Roman" w:cs="Times New Roman"/>
                      <w:b w:val="0"/>
                      <w:bCs w:val="0"/>
                      <w:szCs w:val="21"/>
                      <w:u w:val="single"/>
                    </w:rPr>
                    <w:t>kg/h</w:t>
                  </w:r>
                </w:p>
              </w:tc>
              <w:tc>
                <w:tcPr>
                  <w:tcW w:w="1233" w:type="dxa"/>
                  <w:vAlign w:val="center"/>
                </w:tcPr>
                <w:p>
                  <w:pPr>
                    <w:pStyle w:val="38"/>
                    <w:bidi w:val="0"/>
                    <w:jc w:val="center"/>
                    <w:rPr>
                      <w:rFonts w:hint="eastAsia"/>
                      <w:u w:val="single"/>
                      <w:lang w:eastAsia="zh-CN"/>
                    </w:rPr>
                  </w:pPr>
                  <w:r>
                    <w:rPr>
                      <w:rFonts w:hint="eastAsia"/>
                      <w:u w:val="singl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Align w:val="center"/>
                </w:tcPr>
                <w:p>
                  <w:pPr>
                    <w:pStyle w:val="38"/>
                    <w:bidi w:val="0"/>
                    <w:ind w:firstLine="0" w:firstLineChars="0"/>
                    <w:jc w:val="center"/>
                    <w:rPr>
                      <w:rFonts w:hint="eastAsia" w:ascii="Times New Roman" w:hAnsi="Times New Roman" w:eastAsia="宋体" w:cs="Times New Roman"/>
                      <w:sz w:val="21"/>
                      <w:szCs w:val="21"/>
                      <w:u w:val="single"/>
                      <w:lang w:val="zh-CN" w:eastAsia="zh-CN" w:bidi="zh-CN"/>
                    </w:rPr>
                  </w:pPr>
                  <w:r>
                    <w:rPr>
                      <w:rFonts w:hint="default" w:ascii="Times New Roman" w:hAnsi="Times New Roman" w:cs="Times New Roman"/>
                      <w:u w:val="single"/>
                    </w:rPr>
                    <w:t>硫化氢</w:t>
                  </w:r>
                </w:p>
              </w:tc>
              <w:tc>
                <w:tcPr>
                  <w:tcW w:w="1232" w:type="dxa"/>
                  <w:vMerge w:val="continue"/>
                  <w:vAlign w:val="center"/>
                </w:tcPr>
                <w:p>
                  <w:pPr>
                    <w:pStyle w:val="38"/>
                    <w:bidi w:val="0"/>
                    <w:jc w:val="center"/>
                    <w:rPr>
                      <w:rFonts w:hint="eastAsia"/>
                      <w:u w:val="single"/>
                      <w:lang w:eastAsia="zh-CN"/>
                    </w:rPr>
                  </w:pPr>
                </w:p>
              </w:tc>
              <w:tc>
                <w:tcPr>
                  <w:tcW w:w="1233" w:type="dxa"/>
                  <w:vAlign w:val="center"/>
                </w:tcPr>
                <w:p>
                  <w:pPr>
                    <w:pStyle w:val="38"/>
                    <w:bidi w:val="0"/>
                    <w:jc w:val="center"/>
                    <w:rPr>
                      <w:rFonts w:hint="default"/>
                      <w:u w:val="single"/>
                      <w:lang w:val="en-US" w:eastAsia="zh-CN"/>
                    </w:rPr>
                  </w:pPr>
                  <w:r>
                    <w:rPr>
                      <w:rFonts w:hint="eastAsia"/>
                      <w:u w:val="single"/>
                      <w:lang w:val="en-US" w:eastAsia="zh-CN"/>
                    </w:rPr>
                    <w:t>0.06</w:t>
                  </w:r>
                  <w:r>
                    <w:rPr>
                      <w:rFonts w:ascii="Times New Roman" w:hAnsi="Times New Roman" w:cs="Times New Roman"/>
                      <w:b w:val="0"/>
                      <w:bCs w:val="0"/>
                      <w:szCs w:val="21"/>
                      <w:u w:val="single"/>
                    </w:rPr>
                    <w:t>mg/m³</w:t>
                  </w:r>
                </w:p>
              </w:tc>
              <w:tc>
                <w:tcPr>
                  <w:tcW w:w="1233" w:type="dxa"/>
                  <w:vAlign w:val="center"/>
                </w:tcPr>
                <w:p>
                  <w:pPr>
                    <w:pStyle w:val="38"/>
                    <w:bidi w:val="0"/>
                    <w:jc w:val="center"/>
                    <w:rPr>
                      <w:rFonts w:hint="default"/>
                      <w:u w:val="single"/>
                      <w:lang w:val="en-US" w:eastAsia="zh-CN"/>
                    </w:rPr>
                  </w:pPr>
                  <w:r>
                    <w:rPr>
                      <w:rFonts w:hint="eastAsia"/>
                      <w:u w:val="single"/>
                      <w:lang w:val="en-US" w:eastAsia="zh-CN"/>
                    </w:rPr>
                    <w:t>0.33</w:t>
                  </w:r>
                  <w:r>
                    <w:rPr>
                      <w:rFonts w:ascii="Times New Roman" w:hAnsi="Times New Roman" w:cs="Times New Roman"/>
                      <w:b w:val="0"/>
                      <w:bCs w:val="0"/>
                      <w:szCs w:val="21"/>
                      <w:u w:val="single"/>
                    </w:rPr>
                    <w:t>kg/h</w:t>
                  </w:r>
                </w:p>
              </w:tc>
              <w:tc>
                <w:tcPr>
                  <w:tcW w:w="1233" w:type="dxa"/>
                  <w:vAlign w:val="center"/>
                </w:tcPr>
                <w:p>
                  <w:pPr>
                    <w:pStyle w:val="38"/>
                    <w:bidi w:val="0"/>
                    <w:ind w:firstLine="0" w:firstLineChars="0"/>
                    <w:jc w:val="center"/>
                    <w:rPr>
                      <w:rFonts w:hint="eastAsia"/>
                      <w:u w:val="single"/>
                      <w:lang w:eastAsia="zh-CN"/>
                    </w:rPr>
                  </w:pPr>
                  <w:r>
                    <w:rPr>
                      <w:rFonts w:hint="eastAsia"/>
                      <w:b w:val="0"/>
                      <w:bCs w:val="0"/>
                      <w:u w:val="single"/>
                      <w:lang w:val="en-US" w:eastAsia="zh-CN"/>
                    </w:rPr>
                    <w:t>0.00013</w:t>
                  </w:r>
                  <w:r>
                    <w:rPr>
                      <w:rFonts w:ascii="Times New Roman" w:hAnsi="Times New Roman" w:cs="Times New Roman"/>
                      <w:b w:val="0"/>
                      <w:bCs w:val="0"/>
                      <w:szCs w:val="21"/>
                      <w:u w:val="single"/>
                    </w:rPr>
                    <w:t>mg/m³</w:t>
                  </w:r>
                </w:p>
              </w:tc>
              <w:tc>
                <w:tcPr>
                  <w:tcW w:w="1233" w:type="dxa"/>
                  <w:vAlign w:val="center"/>
                </w:tcPr>
                <w:p>
                  <w:pPr>
                    <w:pStyle w:val="38"/>
                    <w:bidi w:val="0"/>
                    <w:ind w:firstLine="0" w:firstLineChars="0"/>
                    <w:jc w:val="center"/>
                    <w:rPr>
                      <w:rFonts w:hint="eastAsia"/>
                      <w:u w:val="single"/>
                      <w:lang w:eastAsia="zh-CN"/>
                    </w:rPr>
                  </w:pPr>
                  <w:r>
                    <w:rPr>
                      <w:rFonts w:hint="eastAsia"/>
                      <w:b w:val="0"/>
                      <w:bCs w:val="0"/>
                      <w:u w:val="single"/>
                      <w:lang w:val="en-US" w:eastAsia="zh-CN"/>
                    </w:rPr>
                    <w:t>0.000008</w:t>
                  </w:r>
                  <w:r>
                    <w:rPr>
                      <w:rFonts w:ascii="Times New Roman" w:hAnsi="Times New Roman" w:cs="Times New Roman"/>
                      <w:b w:val="0"/>
                      <w:bCs w:val="0"/>
                      <w:szCs w:val="21"/>
                      <w:u w:val="single"/>
                    </w:rPr>
                    <w:t>kg/h</w:t>
                  </w:r>
                </w:p>
              </w:tc>
              <w:tc>
                <w:tcPr>
                  <w:tcW w:w="1233" w:type="dxa"/>
                  <w:vAlign w:val="center"/>
                </w:tcPr>
                <w:p>
                  <w:pPr>
                    <w:pStyle w:val="38"/>
                    <w:bidi w:val="0"/>
                    <w:jc w:val="center"/>
                    <w:rPr>
                      <w:rFonts w:hint="eastAsia"/>
                      <w:u w:val="single"/>
                      <w:lang w:eastAsia="zh-CN"/>
                    </w:rPr>
                  </w:pPr>
                  <w:r>
                    <w:rPr>
                      <w:rFonts w:hint="eastAsia"/>
                      <w:u w:val="single"/>
                      <w:lang w:eastAsia="zh-CN"/>
                    </w:rPr>
                    <w:t>达标</w:t>
                  </w:r>
                </w:p>
              </w:tc>
            </w:tr>
          </w:tbl>
          <w:p>
            <w:pPr>
              <w:bidi w:val="0"/>
              <w:jc w:val="both"/>
              <w:rPr>
                <w:rFonts w:hint="eastAsia"/>
                <w:u w:val="single"/>
                <w:lang w:eastAsia="zh-CN"/>
              </w:rPr>
            </w:pPr>
            <w:r>
              <w:rPr>
                <w:rFonts w:hint="eastAsia"/>
                <w:u w:val="single"/>
                <w:lang w:val="en-US" w:eastAsia="zh-CN"/>
              </w:rPr>
              <w:t>根据上表分析，本项目有组织废气排放满足</w:t>
            </w:r>
            <w:r>
              <w:rPr>
                <w:rFonts w:hint="eastAsia"/>
                <w:u w:val="single"/>
                <w:lang w:eastAsia="zh-CN"/>
              </w:rPr>
              <w:t>《大气污染物综合排放标准》(GB16297-1996 )表2中的二级标准及《恶臭污染物排放标准》</w:t>
            </w:r>
            <w:r>
              <w:rPr>
                <w:rFonts w:hint="default"/>
                <w:u w:val="single"/>
              </w:rPr>
              <w:t>（GB14554-93）</w:t>
            </w:r>
            <w:r>
              <w:rPr>
                <w:rFonts w:hint="eastAsia"/>
                <w:u w:val="single"/>
                <w:lang w:eastAsia="zh-CN"/>
              </w:rPr>
              <w:t>的标准限值。针对有组织废气，通过本木提出的无组织废气治理措施，无组织废气排放量极少，故对环境影响较小。</w:t>
            </w:r>
          </w:p>
          <w:p>
            <w:pPr>
              <w:ind w:firstLine="482"/>
              <w:jc w:val="both"/>
              <w:rPr>
                <w:rFonts w:hint="default" w:eastAsia="宋体"/>
                <w:b/>
                <w:bCs/>
                <w:u w:val="none"/>
                <w:lang w:val="en-US" w:eastAsia="zh-CN"/>
              </w:rPr>
            </w:pPr>
            <w:r>
              <w:rPr>
                <w:rFonts w:hint="eastAsia"/>
                <w:u w:val="single"/>
                <w:lang w:val="en-US" w:eastAsia="zh-CN"/>
              </w:rPr>
              <w:t>综上</w:t>
            </w:r>
            <w:r>
              <w:rPr>
                <w:rFonts w:hint="eastAsia" w:cs="Times New Roman"/>
                <w:sz w:val="24"/>
                <w:szCs w:val="24"/>
                <w:u w:val="single"/>
                <w:lang w:val="en-US" w:eastAsia="zh-CN"/>
              </w:rPr>
              <w:t>本项目废气在采取上述措施后对环境基本无影响。</w:t>
            </w:r>
          </w:p>
          <w:p>
            <w:pPr>
              <w:pStyle w:val="9"/>
              <w:spacing w:before="192" w:after="192"/>
              <w:rPr>
                <w:u w:val="single"/>
                <w:lang w:val="en-US"/>
              </w:rPr>
            </w:pPr>
            <w:r>
              <w:rPr>
                <w:rFonts w:hint="eastAsia"/>
                <w:u w:val="single"/>
                <w:lang w:val="en-US" w:eastAsia="zh-CN"/>
              </w:rPr>
              <w:t>4.2.1.3</w:t>
            </w:r>
            <w:r>
              <w:rPr>
                <w:rFonts w:hint="eastAsia"/>
                <w:u w:val="single"/>
                <w:lang w:val="en-US"/>
              </w:rPr>
              <w:t>大气污染物排放量核算</w:t>
            </w:r>
          </w:p>
          <w:p>
            <w:pPr>
              <w:widowControl/>
              <w:wordWrap/>
              <w:ind w:firstLine="480"/>
              <w:jc w:val="both"/>
              <w:rPr>
                <w:szCs w:val="24"/>
                <w:u w:val="single"/>
              </w:rPr>
            </w:pPr>
            <w:r>
              <w:rPr>
                <w:szCs w:val="24"/>
                <w:u w:val="single"/>
              </w:rPr>
              <w:t>根据工程分析可知</w:t>
            </w:r>
            <w:r>
              <w:rPr>
                <w:rFonts w:hint="eastAsia"/>
                <w:szCs w:val="24"/>
                <w:u w:val="single"/>
              </w:rPr>
              <w:t>，</w:t>
            </w:r>
            <w:r>
              <w:rPr>
                <w:szCs w:val="24"/>
                <w:u w:val="single"/>
              </w:rPr>
              <w:t>本项目的生产过程气型污染源为</w:t>
            </w:r>
            <w:r>
              <w:rPr>
                <w:rFonts w:hint="default" w:ascii="Times New Roman" w:hAnsi="Times New Roman" w:eastAsia="宋体" w:cs="Times New Roman"/>
                <w:sz w:val="24"/>
                <w:szCs w:val="24"/>
                <w:u w:val="single"/>
              </w:rPr>
              <w:t>垃圾卸料、压缩过程中产生的恶臭和粉尘</w:t>
            </w:r>
            <w:r>
              <w:rPr>
                <w:rFonts w:hint="default"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u w:val="single"/>
              </w:rPr>
              <w:t>渗滤液池的臭气及垃圾运输过程中产生的废气和汽车尾气</w:t>
            </w:r>
            <w:r>
              <w:rPr>
                <w:rFonts w:hint="eastAsia"/>
                <w:szCs w:val="24"/>
                <w:u w:val="single"/>
              </w:rPr>
              <w:t>。</w:t>
            </w:r>
            <w:r>
              <w:rPr>
                <w:rFonts w:hint="default" w:ascii="Times New Roman" w:hAnsi="Times New Roman" w:eastAsia="宋体" w:cs="Times New Roman"/>
                <w:sz w:val="24"/>
                <w:szCs w:val="24"/>
                <w:u w:val="single"/>
              </w:rPr>
              <w:t>垃圾卸料、压缩过程中产生的恶臭和粉尘</w:t>
            </w:r>
            <w:r>
              <w:rPr>
                <w:rFonts w:hint="eastAsia" w:cs="Times New Roman"/>
                <w:sz w:val="24"/>
                <w:szCs w:val="24"/>
                <w:u w:val="single"/>
                <w:lang w:eastAsia="zh-CN"/>
              </w:rPr>
              <w:t>及</w:t>
            </w:r>
            <w:r>
              <w:rPr>
                <w:rFonts w:hint="default" w:ascii="Times New Roman" w:hAnsi="Times New Roman" w:eastAsia="宋体" w:cs="Times New Roman"/>
                <w:sz w:val="24"/>
                <w:szCs w:val="24"/>
                <w:u w:val="single"/>
              </w:rPr>
              <w:t>渗滤液池的臭气</w:t>
            </w:r>
            <w:r>
              <w:rPr>
                <w:rFonts w:hint="eastAsia"/>
                <w:szCs w:val="24"/>
                <w:u w:val="single"/>
              </w:rPr>
              <w:t>经过</w:t>
            </w:r>
            <w:r>
              <w:rPr>
                <w:rFonts w:hint="eastAsia"/>
                <w:szCs w:val="24"/>
                <w:u w:val="single"/>
                <w:lang w:eastAsia="zh-CN"/>
              </w:rPr>
              <w:t>高效生物吸附塔</w:t>
            </w:r>
            <w:r>
              <w:rPr>
                <w:rFonts w:hint="eastAsia"/>
                <w:szCs w:val="24"/>
                <w:u w:val="single"/>
              </w:rPr>
              <w:t>处理后通过</w:t>
            </w:r>
            <w:r>
              <w:rPr>
                <w:rFonts w:hint="eastAsia"/>
                <w:szCs w:val="24"/>
                <w:u w:val="single"/>
                <w:lang w:val="en-US"/>
              </w:rPr>
              <w:t>15</w:t>
            </w:r>
            <w:r>
              <w:rPr>
                <w:szCs w:val="24"/>
                <w:u w:val="single"/>
              </w:rPr>
              <w:t>m</w:t>
            </w:r>
            <w:r>
              <w:rPr>
                <w:rFonts w:hint="eastAsia"/>
                <w:szCs w:val="24"/>
                <w:u w:val="single"/>
              </w:rPr>
              <w:t>高的排气筒排放。</w:t>
            </w:r>
          </w:p>
          <w:p>
            <w:pPr>
              <w:wordWrap/>
              <w:ind w:firstLine="480"/>
              <w:rPr>
                <w:szCs w:val="24"/>
                <w:u w:val="single"/>
                <w:lang w:val="en-US"/>
              </w:rPr>
            </w:pPr>
            <w:r>
              <w:rPr>
                <w:rFonts w:hint="eastAsia"/>
                <w:szCs w:val="24"/>
                <w:u w:val="single"/>
                <w:lang w:val="en-US"/>
              </w:rPr>
              <w:t>（1）有组织排放量核算</w:t>
            </w:r>
          </w:p>
          <w:p>
            <w:pPr>
              <w:pStyle w:val="39"/>
              <w:rPr>
                <w:u w:val="single"/>
              </w:rPr>
            </w:pPr>
            <w:r>
              <w:rPr>
                <w:u w:val="single"/>
              </w:rPr>
              <w:t>表</w:t>
            </w:r>
            <w:r>
              <w:rPr>
                <w:rFonts w:hint="eastAsia"/>
                <w:u w:val="single"/>
                <w:lang w:val="en-US" w:eastAsia="zh-CN"/>
              </w:rPr>
              <w:t>4.2-6</w:t>
            </w:r>
            <w:r>
              <w:rPr>
                <w:rFonts w:hint="eastAsia"/>
                <w:u w:val="single"/>
                <w:lang w:val="en-US"/>
              </w:rPr>
              <w:t xml:space="preserve">   </w:t>
            </w:r>
            <w:r>
              <w:rPr>
                <w:u w:val="single"/>
              </w:rPr>
              <w:t>大气污染物</w:t>
            </w:r>
            <w:r>
              <w:rPr>
                <w:rFonts w:hint="eastAsia"/>
                <w:u w:val="single"/>
              </w:rPr>
              <w:t>有</w:t>
            </w:r>
            <w:r>
              <w:rPr>
                <w:u w:val="single"/>
              </w:rPr>
              <w:t>组织排放量核算表</w:t>
            </w:r>
          </w:p>
          <w:tbl>
            <w:tblPr>
              <w:tblStyle w:val="31"/>
              <w:tblW w:w="5022"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1135"/>
              <w:gridCol w:w="1398"/>
              <w:gridCol w:w="2031"/>
              <w:gridCol w:w="1855"/>
              <w:gridCol w:w="168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7" w:hRule="atLeast"/>
                <w:jc w:val="center"/>
              </w:trPr>
              <w:tc>
                <w:tcPr>
                  <w:tcW w:w="330" w:type="pct"/>
                  <w:vAlign w:val="center"/>
                </w:tcPr>
                <w:p>
                  <w:pPr>
                    <w:pStyle w:val="38"/>
                    <w:rPr>
                      <w:u w:val="single"/>
                    </w:rPr>
                  </w:pPr>
                  <w:r>
                    <w:rPr>
                      <w:rFonts w:hint="eastAsia"/>
                      <w:u w:val="single"/>
                    </w:rPr>
                    <w:t>序号</w:t>
                  </w:r>
                </w:p>
              </w:tc>
              <w:tc>
                <w:tcPr>
                  <w:tcW w:w="653" w:type="pct"/>
                  <w:vAlign w:val="center"/>
                </w:tcPr>
                <w:p>
                  <w:pPr>
                    <w:pStyle w:val="38"/>
                    <w:rPr>
                      <w:u w:val="single"/>
                    </w:rPr>
                  </w:pPr>
                  <w:r>
                    <w:rPr>
                      <w:rFonts w:hint="eastAsia"/>
                      <w:u w:val="single"/>
                    </w:rPr>
                    <w:t>排放口编号</w:t>
                  </w:r>
                </w:p>
              </w:tc>
              <w:tc>
                <w:tcPr>
                  <w:tcW w:w="805" w:type="pct"/>
                  <w:vAlign w:val="center"/>
                </w:tcPr>
                <w:p>
                  <w:pPr>
                    <w:pStyle w:val="38"/>
                    <w:rPr>
                      <w:u w:val="single"/>
                    </w:rPr>
                  </w:pPr>
                  <w:r>
                    <w:rPr>
                      <w:rFonts w:hint="eastAsia"/>
                      <w:u w:val="single"/>
                    </w:rPr>
                    <w:t>污染物</w:t>
                  </w:r>
                </w:p>
              </w:tc>
              <w:tc>
                <w:tcPr>
                  <w:tcW w:w="1170" w:type="pct"/>
                  <w:vAlign w:val="center"/>
                </w:tcPr>
                <w:p>
                  <w:pPr>
                    <w:pStyle w:val="38"/>
                    <w:rPr>
                      <w:u w:val="single"/>
                    </w:rPr>
                  </w:pPr>
                  <w:r>
                    <w:rPr>
                      <w:rFonts w:hint="eastAsia"/>
                      <w:u w:val="single"/>
                    </w:rPr>
                    <w:t>核算排放浓度/（</w:t>
                  </w:r>
                  <w:r>
                    <w:rPr>
                      <w:rFonts w:hint="eastAsia"/>
                      <w:u w:val="single"/>
                      <w:lang w:val="en-US" w:eastAsia="zh-CN"/>
                    </w:rPr>
                    <w:t>m</w:t>
                  </w:r>
                  <w:r>
                    <w:rPr>
                      <w:rFonts w:hint="eastAsia"/>
                      <w:u w:val="single"/>
                    </w:rPr>
                    <w:t>g/m</w:t>
                  </w:r>
                  <w:r>
                    <w:rPr>
                      <w:rFonts w:hint="eastAsia"/>
                      <w:u w:val="single"/>
                      <w:vertAlign w:val="superscript"/>
                    </w:rPr>
                    <w:t>3</w:t>
                  </w:r>
                  <w:r>
                    <w:rPr>
                      <w:rFonts w:hint="eastAsia"/>
                      <w:u w:val="single"/>
                    </w:rPr>
                    <w:t>）</w:t>
                  </w:r>
                </w:p>
              </w:tc>
              <w:tc>
                <w:tcPr>
                  <w:tcW w:w="1069" w:type="pct"/>
                  <w:vAlign w:val="center"/>
                </w:tcPr>
                <w:p>
                  <w:pPr>
                    <w:pStyle w:val="38"/>
                    <w:rPr>
                      <w:u w:val="single"/>
                    </w:rPr>
                  </w:pPr>
                  <w:r>
                    <w:rPr>
                      <w:rFonts w:hint="eastAsia"/>
                      <w:u w:val="single"/>
                    </w:rPr>
                    <w:t>核算排放速率/（kg/h）</w:t>
                  </w:r>
                </w:p>
              </w:tc>
              <w:tc>
                <w:tcPr>
                  <w:tcW w:w="970" w:type="pct"/>
                  <w:vAlign w:val="center"/>
                </w:tcPr>
                <w:p>
                  <w:pPr>
                    <w:pStyle w:val="38"/>
                    <w:rPr>
                      <w:u w:val="single"/>
                    </w:rPr>
                  </w:pPr>
                  <w:r>
                    <w:rPr>
                      <w:rFonts w:hint="eastAsia"/>
                      <w:u w:val="single"/>
                    </w:rPr>
                    <w:t>核算年排放量/（</w:t>
                  </w:r>
                  <w:r>
                    <w:rPr>
                      <w:rFonts w:hint="eastAsia"/>
                      <w:u w:val="single"/>
                      <w:lang w:val="en-US" w:eastAsia="zh-CN"/>
                    </w:rPr>
                    <w:t>kg</w:t>
                  </w:r>
                  <w:r>
                    <w:rPr>
                      <w:rFonts w:hint="eastAsia"/>
                      <w:u w:val="single"/>
                    </w:rPr>
                    <w:t>/a）</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4" w:hRule="atLeast"/>
                <w:jc w:val="center"/>
              </w:trPr>
              <w:tc>
                <w:tcPr>
                  <w:tcW w:w="5000" w:type="pct"/>
                  <w:gridSpan w:val="6"/>
                  <w:vAlign w:val="center"/>
                </w:tcPr>
                <w:p>
                  <w:pPr>
                    <w:pStyle w:val="38"/>
                    <w:rPr>
                      <w:u w:val="single"/>
                    </w:rPr>
                  </w:pPr>
                  <w:r>
                    <w:rPr>
                      <w:rFonts w:hint="eastAsia"/>
                      <w:u w:val="single"/>
                    </w:rPr>
                    <w:t>主要排放口</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4" w:hRule="atLeast"/>
                <w:jc w:val="center"/>
              </w:trPr>
              <w:tc>
                <w:tcPr>
                  <w:tcW w:w="330" w:type="pct"/>
                  <w:vMerge w:val="restart"/>
                  <w:vAlign w:val="center"/>
                </w:tcPr>
                <w:p>
                  <w:pPr>
                    <w:pStyle w:val="38"/>
                    <w:rPr>
                      <w:u w:val="single"/>
                    </w:rPr>
                  </w:pPr>
                  <w:r>
                    <w:rPr>
                      <w:rFonts w:hint="eastAsia"/>
                      <w:u w:val="single"/>
                    </w:rPr>
                    <w:t>1</w:t>
                  </w:r>
                </w:p>
              </w:tc>
              <w:tc>
                <w:tcPr>
                  <w:tcW w:w="653" w:type="pct"/>
                  <w:vMerge w:val="restart"/>
                  <w:vAlign w:val="center"/>
                </w:tcPr>
                <w:p>
                  <w:pPr>
                    <w:pStyle w:val="38"/>
                    <w:rPr>
                      <w:rFonts w:hint="default" w:eastAsia="宋体"/>
                      <w:u w:val="single"/>
                      <w:lang w:val="en-US" w:eastAsia="zh-CN"/>
                    </w:rPr>
                  </w:pPr>
                  <w:r>
                    <w:rPr>
                      <w:rFonts w:hint="eastAsia"/>
                      <w:u w:val="single"/>
                      <w:lang w:val="en-US" w:eastAsia="zh-CN"/>
                    </w:rPr>
                    <w:t>DA001</w:t>
                  </w:r>
                </w:p>
              </w:tc>
              <w:tc>
                <w:tcPr>
                  <w:tcW w:w="805" w:type="pct"/>
                  <w:vAlign w:val="center"/>
                </w:tcPr>
                <w:p>
                  <w:pPr>
                    <w:pStyle w:val="38"/>
                    <w:rPr>
                      <w:u w:val="single"/>
                      <w:lang w:val="en-US"/>
                    </w:rPr>
                  </w:pPr>
                  <w:r>
                    <w:rPr>
                      <w:rFonts w:hint="eastAsia"/>
                      <w:u w:val="single"/>
                      <w:lang w:val="en-US" w:eastAsia="zh-CN"/>
                    </w:rPr>
                    <w:t>颗粒物</w:t>
                  </w:r>
                </w:p>
              </w:tc>
              <w:tc>
                <w:tcPr>
                  <w:tcW w:w="1170" w:type="pct"/>
                  <w:vAlign w:val="center"/>
                </w:tcPr>
                <w:p>
                  <w:pPr>
                    <w:pStyle w:val="38"/>
                    <w:rPr>
                      <w:rFonts w:hint="default" w:eastAsia="宋体"/>
                      <w:u w:val="single"/>
                      <w:lang w:val="en-US" w:eastAsia="zh-CN"/>
                    </w:rPr>
                  </w:pPr>
                  <w:r>
                    <w:rPr>
                      <w:rFonts w:hint="eastAsia"/>
                      <w:u w:val="single"/>
                      <w:lang w:val="en-US" w:eastAsia="zh-CN"/>
                    </w:rPr>
                    <w:t>0.67</w:t>
                  </w:r>
                </w:p>
              </w:tc>
              <w:tc>
                <w:tcPr>
                  <w:tcW w:w="1069" w:type="pct"/>
                  <w:vAlign w:val="center"/>
                </w:tcPr>
                <w:p>
                  <w:pPr>
                    <w:pStyle w:val="38"/>
                    <w:rPr>
                      <w:rFonts w:hint="default" w:eastAsia="宋体"/>
                      <w:u w:val="single"/>
                      <w:lang w:val="en-US" w:eastAsia="zh-CN"/>
                    </w:rPr>
                  </w:pPr>
                  <w:r>
                    <w:rPr>
                      <w:rFonts w:hint="eastAsia"/>
                      <w:u w:val="single"/>
                      <w:lang w:val="en-US" w:eastAsia="zh-CN"/>
                    </w:rPr>
                    <w:t>0.04</w:t>
                  </w:r>
                </w:p>
              </w:tc>
              <w:tc>
                <w:tcPr>
                  <w:tcW w:w="970" w:type="pct"/>
                  <w:vAlign w:val="center"/>
                </w:tcPr>
                <w:p>
                  <w:pPr>
                    <w:pStyle w:val="38"/>
                    <w:rPr>
                      <w:rFonts w:hint="default" w:eastAsia="宋体"/>
                      <w:u w:val="single"/>
                      <w:lang w:val="en-US" w:eastAsia="zh-CN"/>
                    </w:rPr>
                  </w:pPr>
                  <w:r>
                    <w:rPr>
                      <w:rFonts w:hint="eastAsia"/>
                      <w:u w:val="single"/>
                      <w:lang w:val="en-US" w:eastAsia="zh-CN"/>
                    </w:rPr>
                    <w:t>65.70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4" w:hRule="atLeast"/>
                <w:jc w:val="center"/>
              </w:trPr>
              <w:tc>
                <w:tcPr>
                  <w:tcW w:w="330" w:type="pct"/>
                  <w:vMerge w:val="continue"/>
                  <w:vAlign w:val="center"/>
                </w:tcPr>
                <w:p>
                  <w:pPr>
                    <w:pStyle w:val="38"/>
                    <w:rPr>
                      <w:rFonts w:hint="eastAsia"/>
                      <w:u w:val="single"/>
                    </w:rPr>
                  </w:pPr>
                </w:p>
              </w:tc>
              <w:tc>
                <w:tcPr>
                  <w:tcW w:w="653" w:type="pct"/>
                  <w:vMerge w:val="continue"/>
                  <w:vAlign w:val="center"/>
                </w:tcPr>
                <w:p>
                  <w:pPr>
                    <w:pStyle w:val="38"/>
                    <w:rPr>
                      <w:rFonts w:hint="eastAsia"/>
                      <w:u w:val="single"/>
                      <w:lang w:val="en-US"/>
                    </w:rPr>
                  </w:pPr>
                </w:p>
              </w:tc>
              <w:tc>
                <w:tcPr>
                  <w:tcW w:w="805" w:type="pct"/>
                  <w:vAlign w:val="center"/>
                </w:tcPr>
                <w:p>
                  <w:pPr>
                    <w:pStyle w:val="38"/>
                    <w:rPr>
                      <w:rFonts w:hint="eastAsia"/>
                      <w:u w:val="single"/>
                      <w:lang w:val="en-US"/>
                    </w:rPr>
                  </w:pPr>
                  <w:r>
                    <w:rPr>
                      <w:rFonts w:hint="default" w:ascii="Times New Roman" w:hAnsi="Times New Roman" w:eastAsia="宋体" w:cs="Times New Roman"/>
                      <w:sz w:val="21"/>
                      <w:szCs w:val="21"/>
                      <w:u w:val="single"/>
                    </w:rPr>
                    <w:t>NH</w:t>
                  </w:r>
                  <w:r>
                    <w:rPr>
                      <w:rFonts w:hint="default" w:ascii="Times New Roman" w:hAnsi="Times New Roman" w:eastAsia="宋体" w:cs="Times New Roman"/>
                      <w:sz w:val="21"/>
                      <w:szCs w:val="21"/>
                      <w:u w:val="single"/>
                      <w:vertAlign w:val="subscript"/>
                    </w:rPr>
                    <w:t>3</w:t>
                  </w:r>
                </w:p>
              </w:tc>
              <w:tc>
                <w:tcPr>
                  <w:tcW w:w="1170" w:type="pct"/>
                  <w:vAlign w:val="center"/>
                </w:tcPr>
                <w:p>
                  <w:pPr>
                    <w:pStyle w:val="38"/>
                    <w:rPr>
                      <w:rFonts w:hint="default" w:eastAsia="宋体"/>
                      <w:u w:val="single"/>
                      <w:lang w:val="en-US" w:eastAsia="zh-CN"/>
                    </w:rPr>
                  </w:pPr>
                  <w:r>
                    <w:rPr>
                      <w:rFonts w:hint="eastAsia"/>
                      <w:u w:val="single"/>
                      <w:lang w:val="en-US" w:eastAsia="zh-CN"/>
                    </w:rPr>
                    <w:t>0.003</w:t>
                  </w:r>
                </w:p>
              </w:tc>
              <w:tc>
                <w:tcPr>
                  <w:tcW w:w="1069" w:type="pct"/>
                  <w:vAlign w:val="center"/>
                </w:tcPr>
                <w:p>
                  <w:pPr>
                    <w:pStyle w:val="38"/>
                    <w:rPr>
                      <w:rFonts w:hint="default" w:eastAsia="宋体"/>
                      <w:u w:val="single"/>
                      <w:lang w:val="en-US" w:eastAsia="zh-CN"/>
                    </w:rPr>
                  </w:pPr>
                  <w:r>
                    <w:rPr>
                      <w:rFonts w:hint="eastAsia"/>
                      <w:u w:val="single"/>
                      <w:lang w:val="en-US" w:eastAsia="zh-CN"/>
                    </w:rPr>
                    <w:t>0.0002</w:t>
                  </w:r>
                </w:p>
              </w:tc>
              <w:tc>
                <w:tcPr>
                  <w:tcW w:w="970" w:type="pct"/>
                  <w:vAlign w:val="center"/>
                </w:tcPr>
                <w:p>
                  <w:pPr>
                    <w:pStyle w:val="38"/>
                    <w:rPr>
                      <w:rFonts w:hint="default" w:eastAsia="宋体"/>
                      <w:u w:val="single"/>
                      <w:lang w:val="en-US" w:eastAsia="zh-CN"/>
                    </w:rPr>
                  </w:pPr>
                  <w:r>
                    <w:rPr>
                      <w:rFonts w:hint="eastAsia"/>
                      <w:u w:val="single"/>
                      <w:lang w:val="en-US" w:eastAsia="zh-CN"/>
                    </w:rPr>
                    <w:t>0.394</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4" w:hRule="atLeast"/>
                <w:jc w:val="center"/>
              </w:trPr>
              <w:tc>
                <w:tcPr>
                  <w:tcW w:w="330" w:type="pct"/>
                  <w:vMerge w:val="continue"/>
                  <w:vAlign w:val="center"/>
                </w:tcPr>
                <w:p>
                  <w:pPr>
                    <w:pStyle w:val="38"/>
                    <w:rPr>
                      <w:rFonts w:hint="eastAsia"/>
                      <w:u w:val="single"/>
                    </w:rPr>
                  </w:pPr>
                </w:p>
              </w:tc>
              <w:tc>
                <w:tcPr>
                  <w:tcW w:w="653" w:type="pct"/>
                  <w:vMerge w:val="continue"/>
                  <w:vAlign w:val="center"/>
                </w:tcPr>
                <w:p>
                  <w:pPr>
                    <w:pStyle w:val="38"/>
                    <w:rPr>
                      <w:rFonts w:hint="eastAsia"/>
                      <w:u w:val="single"/>
                      <w:lang w:val="en-US"/>
                    </w:rPr>
                  </w:pPr>
                </w:p>
              </w:tc>
              <w:tc>
                <w:tcPr>
                  <w:tcW w:w="805" w:type="pct"/>
                  <w:vAlign w:val="center"/>
                </w:tcPr>
                <w:p>
                  <w:pPr>
                    <w:pStyle w:val="38"/>
                    <w:rPr>
                      <w:rFonts w:hint="eastAsia"/>
                      <w:u w:val="single"/>
                      <w:lang w:val="en-US"/>
                    </w:rPr>
                  </w:pPr>
                  <w:r>
                    <w:rPr>
                      <w:rFonts w:hint="default" w:ascii="Times New Roman" w:hAnsi="Times New Roman" w:eastAsia="宋体" w:cs="Times New Roman"/>
                      <w:sz w:val="21"/>
                      <w:szCs w:val="21"/>
                      <w:u w:val="single"/>
                    </w:rPr>
                    <w:t>H</w:t>
                  </w:r>
                  <w:r>
                    <w:rPr>
                      <w:rFonts w:hint="default" w:ascii="Times New Roman" w:hAnsi="Times New Roman" w:eastAsia="宋体" w:cs="Times New Roman"/>
                      <w:sz w:val="21"/>
                      <w:szCs w:val="21"/>
                      <w:u w:val="single"/>
                      <w:vertAlign w:val="subscript"/>
                    </w:rPr>
                    <w:t>2</w:t>
                  </w:r>
                  <w:r>
                    <w:rPr>
                      <w:rFonts w:hint="default" w:ascii="Times New Roman" w:hAnsi="Times New Roman" w:eastAsia="宋体" w:cs="Times New Roman"/>
                      <w:sz w:val="21"/>
                      <w:szCs w:val="21"/>
                      <w:u w:val="single"/>
                    </w:rPr>
                    <w:t>S</w:t>
                  </w:r>
                </w:p>
              </w:tc>
              <w:tc>
                <w:tcPr>
                  <w:tcW w:w="1170" w:type="pct"/>
                  <w:vAlign w:val="center"/>
                </w:tcPr>
                <w:p>
                  <w:pPr>
                    <w:pStyle w:val="38"/>
                    <w:rPr>
                      <w:rFonts w:hint="default"/>
                      <w:u w:val="single"/>
                      <w:lang w:val="en-US" w:eastAsia="zh-CN"/>
                    </w:rPr>
                  </w:pPr>
                  <w:r>
                    <w:rPr>
                      <w:rFonts w:hint="eastAsia"/>
                      <w:u w:val="single"/>
                      <w:lang w:val="en-US" w:eastAsia="zh-CN"/>
                    </w:rPr>
                    <w:t>0.00013</w:t>
                  </w:r>
                </w:p>
              </w:tc>
              <w:tc>
                <w:tcPr>
                  <w:tcW w:w="1069" w:type="pct"/>
                  <w:vAlign w:val="center"/>
                </w:tcPr>
                <w:p>
                  <w:pPr>
                    <w:pStyle w:val="38"/>
                    <w:rPr>
                      <w:rFonts w:hint="default" w:eastAsia="宋体"/>
                      <w:u w:val="single"/>
                      <w:lang w:val="en-US" w:eastAsia="zh-CN"/>
                    </w:rPr>
                  </w:pPr>
                  <w:r>
                    <w:rPr>
                      <w:rFonts w:hint="eastAsia"/>
                      <w:u w:val="single"/>
                      <w:lang w:val="en-US" w:eastAsia="zh-CN"/>
                    </w:rPr>
                    <w:t>0.000008</w:t>
                  </w:r>
                </w:p>
              </w:tc>
              <w:tc>
                <w:tcPr>
                  <w:tcW w:w="970" w:type="pct"/>
                  <w:vAlign w:val="center"/>
                </w:tcPr>
                <w:p>
                  <w:pPr>
                    <w:pStyle w:val="38"/>
                    <w:rPr>
                      <w:rFonts w:hint="default"/>
                      <w:u w:val="single"/>
                      <w:lang w:val="en-US" w:eastAsia="zh-CN"/>
                    </w:rPr>
                  </w:pPr>
                  <w:r>
                    <w:rPr>
                      <w:rFonts w:hint="eastAsia"/>
                      <w:u w:val="single"/>
                      <w:lang w:val="en-US" w:eastAsia="zh-CN"/>
                    </w:rPr>
                    <w:t>0.013</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9" w:hRule="atLeast"/>
                <w:jc w:val="center"/>
              </w:trPr>
              <w:tc>
                <w:tcPr>
                  <w:tcW w:w="984" w:type="pct"/>
                  <w:gridSpan w:val="2"/>
                  <w:vMerge w:val="restart"/>
                  <w:vAlign w:val="center"/>
                </w:tcPr>
                <w:p>
                  <w:pPr>
                    <w:pStyle w:val="38"/>
                    <w:rPr>
                      <w:u w:val="single"/>
                    </w:rPr>
                  </w:pPr>
                  <w:r>
                    <w:rPr>
                      <w:rFonts w:hint="eastAsia"/>
                      <w:u w:val="single"/>
                    </w:rPr>
                    <w:t>主要排放口合计</w:t>
                  </w:r>
                </w:p>
              </w:tc>
              <w:tc>
                <w:tcPr>
                  <w:tcW w:w="3044" w:type="pct"/>
                  <w:gridSpan w:val="3"/>
                  <w:vAlign w:val="center"/>
                </w:tcPr>
                <w:p>
                  <w:pPr>
                    <w:pStyle w:val="38"/>
                    <w:rPr>
                      <w:rFonts w:hint="eastAsia" w:eastAsia="宋体"/>
                      <w:u w:val="single"/>
                      <w:lang w:val="en-US" w:eastAsia="zh-CN"/>
                    </w:rPr>
                  </w:pPr>
                  <w:r>
                    <w:rPr>
                      <w:rFonts w:hint="eastAsia"/>
                      <w:u w:val="single"/>
                      <w:lang w:val="en-US" w:eastAsia="zh-CN"/>
                    </w:rPr>
                    <w:t>颗粒物</w:t>
                  </w:r>
                </w:p>
              </w:tc>
              <w:tc>
                <w:tcPr>
                  <w:tcW w:w="970" w:type="pct"/>
                  <w:vAlign w:val="center"/>
                </w:tcPr>
                <w:p>
                  <w:pPr>
                    <w:pStyle w:val="38"/>
                    <w:rPr>
                      <w:rFonts w:hint="default" w:eastAsia="宋体"/>
                      <w:u w:val="single"/>
                      <w:lang w:val="en-US" w:eastAsia="zh-CN"/>
                    </w:rPr>
                  </w:pPr>
                  <w:r>
                    <w:rPr>
                      <w:rFonts w:hint="eastAsia"/>
                      <w:u w:val="single"/>
                      <w:lang w:val="en-US" w:eastAsia="zh-CN"/>
                    </w:rPr>
                    <w:t>65.70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4" w:hRule="atLeast"/>
                <w:jc w:val="center"/>
              </w:trPr>
              <w:tc>
                <w:tcPr>
                  <w:tcW w:w="984" w:type="pct"/>
                  <w:gridSpan w:val="2"/>
                  <w:vMerge w:val="continue"/>
                  <w:vAlign w:val="center"/>
                </w:tcPr>
                <w:p>
                  <w:pPr>
                    <w:pStyle w:val="38"/>
                    <w:rPr>
                      <w:u w:val="single"/>
                    </w:rPr>
                  </w:pPr>
                </w:p>
              </w:tc>
              <w:tc>
                <w:tcPr>
                  <w:tcW w:w="3044" w:type="pct"/>
                  <w:gridSpan w:val="3"/>
                  <w:vAlign w:val="center"/>
                </w:tcPr>
                <w:p>
                  <w:pPr>
                    <w:pStyle w:val="38"/>
                    <w:rPr>
                      <w:u w:val="single"/>
                    </w:rPr>
                  </w:pPr>
                  <w:r>
                    <w:rPr>
                      <w:rFonts w:hint="default" w:ascii="Times New Roman" w:hAnsi="Times New Roman" w:eastAsia="宋体" w:cs="Times New Roman"/>
                      <w:sz w:val="21"/>
                      <w:szCs w:val="21"/>
                      <w:u w:val="single"/>
                    </w:rPr>
                    <w:t>NH</w:t>
                  </w:r>
                  <w:r>
                    <w:rPr>
                      <w:rFonts w:hint="default" w:ascii="Times New Roman" w:hAnsi="Times New Roman" w:eastAsia="宋体" w:cs="Times New Roman"/>
                      <w:sz w:val="21"/>
                      <w:szCs w:val="21"/>
                      <w:u w:val="single"/>
                      <w:vertAlign w:val="subscript"/>
                    </w:rPr>
                    <w:t>3</w:t>
                  </w:r>
                </w:p>
              </w:tc>
              <w:tc>
                <w:tcPr>
                  <w:tcW w:w="970" w:type="pct"/>
                  <w:vAlign w:val="center"/>
                </w:tcPr>
                <w:p>
                  <w:pPr>
                    <w:pStyle w:val="38"/>
                    <w:rPr>
                      <w:rFonts w:hint="default" w:eastAsia="宋体"/>
                      <w:u w:val="single"/>
                      <w:lang w:val="en-US" w:eastAsia="zh-CN"/>
                    </w:rPr>
                  </w:pPr>
                  <w:r>
                    <w:rPr>
                      <w:rFonts w:hint="eastAsia"/>
                      <w:u w:val="single"/>
                      <w:lang w:val="en-US" w:eastAsia="zh-CN"/>
                    </w:rPr>
                    <w:t>0.394</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4" w:hRule="atLeast"/>
                <w:jc w:val="center"/>
              </w:trPr>
              <w:tc>
                <w:tcPr>
                  <w:tcW w:w="984" w:type="pct"/>
                  <w:gridSpan w:val="2"/>
                  <w:vMerge w:val="continue"/>
                  <w:vAlign w:val="center"/>
                </w:tcPr>
                <w:p>
                  <w:pPr>
                    <w:pStyle w:val="38"/>
                    <w:rPr>
                      <w:u w:val="single"/>
                    </w:rPr>
                  </w:pPr>
                </w:p>
              </w:tc>
              <w:tc>
                <w:tcPr>
                  <w:tcW w:w="3044" w:type="pct"/>
                  <w:gridSpan w:val="3"/>
                  <w:vAlign w:val="center"/>
                </w:tcPr>
                <w:p>
                  <w:pPr>
                    <w:pStyle w:val="38"/>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H</w:t>
                  </w:r>
                  <w:r>
                    <w:rPr>
                      <w:rFonts w:hint="default" w:ascii="Times New Roman" w:hAnsi="Times New Roman" w:eastAsia="宋体" w:cs="Times New Roman"/>
                      <w:sz w:val="21"/>
                      <w:szCs w:val="21"/>
                      <w:u w:val="single"/>
                      <w:vertAlign w:val="subscript"/>
                    </w:rPr>
                    <w:t>2</w:t>
                  </w:r>
                  <w:r>
                    <w:rPr>
                      <w:rFonts w:hint="default" w:ascii="Times New Roman" w:hAnsi="Times New Roman" w:eastAsia="宋体" w:cs="Times New Roman"/>
                      <w:sz w:val="21"/>
                      <w:szCs w:val="21"/>
                      <w:u w:val="single"/>
                    </w:rPr>
                    <w:t>S</w:t>
                  </w:r>
                </w:p>
              </w:tc>
              <w:tc>
                <w:tcPr>
                  <w:tcW w:w="970" w:type="pct"/>
                  <w:vAlign w:val="center"/>
                </w:tcPr>
                <w:p>
                  <w:pPr>
                    <w:pStyle w:val="38"/>
                    <w:rPr>
                      <w:rFonts w:hint="default"/>
                      <w:u w:val="single"/>
                      <w:lang w:val="en-US" w:eastAsia="zh-CN"/>
                    </w:rPr>
                  </w:pPr>
                  <w:r>
                    <w:rPr>
                      <w:rFonts w:hint="eastAsia"/>
                      <w:u w:val="single"/>
                      <w:lang w:val="en-US" w:eastAsia="zh-CN"/>
                    </w:rPr>
                    <w:t>0.013</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4" w:hRule="atLeast"/>
                <w:jc w:val="center"/>
              </w:trPr>
              <w:tc>
                <w:tcPr>
                  <w:tcW w:w="5000" w:type="pct"/>
                  <w:gridSpan w:val="6"/>
                  <w:vAlign w:val="center"/>
                </w:tcPr>
                <w:p>
                  <w:pPr>
                    <w:pStyle w:val="38"/>
                    <w:rPr>
                      <w:u w:val="single"/>
                    </w:rPr>
                  </w:pPr>
                  <w:r>
                    <w:rPr>
                      <w:rFonts w:hint="eastAsia"/>
                      <w:u w:val="single"/>
                    </w:rPr>
                    <w:t>有组织排放合计</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4" w:hRule="atLeast"/>
                <w:jc w:val="center"/>
              </w:trPr>
              <w:tc>
                <w:tcPr>
                  <w:tcW w:w="984" w:type="pct"/>
                  <w:gridSpan w:val="2"/>
                  <w:vMerge w:val="restart"/>
                  <w:vAlign w:val="center"/>
                </w:tcPr>
                <w:p>
                  <w:pPr>
                    <w:pStyle w:val="38"/>
                    <w:rPr>
                      <w:u w:val="single"/>
                    </w:rPr>
                  </w:pPr>
                  <w:r>
                    <w:rPr>
                      <w:rFonts w:hint="eastAsia"/>
                      <w:u w:val="single"/>
                    </w:rPr>
                    <w:t>有组织排放合计</w:t>
                  </w:r>
                </w:p>
              </w:tc>
              <w:tc>
                <w:tcPr>
                  <w:tcW w:w="3044" w:type="pct"/>
                  <w:gridSpan w:val="3"/>
                  <w:vAlign w:val="center"/>
                </w:tcPr>
                <w:p>
                  <w:pPr>
                    <w:pStyle w:val="38"/>
                    <w:ind w:firstLine="0" w:firstLineChars="0"/>
                    <w:rPr>
                      <w:u w:val="single"/>
                      <w:lang w:val="en-US"/>
                    </w:rPr>
                  </w:pPr>
                  <w:r>
                    <w:rPr>
                      <w:rFonts w:hint="eastAsia"/>
                      <w:u w:val="single"/>
                      <w:lang w:val="en-US" w:eastAsia="zh-CN"/>
                    </w:rPr>
                    <w:t>颗粒物</w:t>
                  </w:r>
                </w:p>
              </w:tc>
              <w:tc>
                <w:tcPr>
                  <w:tcW w:w="1681" w:type="dxa"/>
                  <w:vAlign w:val="center"/>
                </w:tcPr>
                <w:p>
                  <w:pPr>
                    <w:pStyle w:val="38"/>
                    <w:ind w:firstLine="0" w:firstLineChars="0"/>
                    <w:rPr>
                      <w:rFonts w:hint="default" w:eastAsia="宋体"/>
                      <w:u w:val="single"/>
                      <w:lang w:val="en-US" w:eastAsia="zh-CN"/>
                    </w:rPr>
                  </w:pPr>
                  <w:r>
                    <w:rPr>
                      <w:rFonts w:hint="eastAsia"/>
                      <w:u w:val="single"/>
                      <w:lang w:val="en-US" w:eastAsia="zh-CN"/>
                    </w:rPr>
                    <w:t>65.70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4" w:hRule="atLeast"/>
                <w:jc w:val="center"/>
              </w:trPr>
              <w:tc>
                <w:tcPr>
                  <w:tcW w:w="984" w:type="pct"/>
                  <w:gridSpan w:val="2"/>
                  <w:vMerge w:val="continue"/>
                  <w:vAlign w:val="center"/>
                </w:tcPr>
                <w:p>
                  <w:pPr>
                    <w:pStyle w:val="38"/>
                    <w:rPr>
                      <w:u w:val="single"/>
                    </w:rPr>
                  </w:pPr>
                </w:p>
              </w:tc>
              <w:tc>
                <w:tcPr>
                  <w:tcW w:w="3044" w:type="pct"/>
                  <w:gridSpan w:val="3"/>
                  <w:vAlign w:val="center"/>
                </w:tcPr>
                <w:p>
                  <w:pPr>
                    <w:pStyle w:val="38"/>
                    <w:ind w:firstLine="0" w:firstLineChars="0"/>
                    <w:rPr>
                      <w:u w:val="single"/>
                    </w:rPr>
                  </w:pPr>
                  <w:r>
                    <w:rPr>
                      <w:rFonts w:hint="default" w:ascii="Times New Roman" w:hAnsi="Times New Roman" w:eastAsia="宋体" w:cs="Times New Roman"/>
                      <w:sz w:val="21"/>
                      <w:szCs w:val="21"/>
                      <w:u w:val="single"/>
                    </w:rPr>
                    <w:t>NH</w:t>
                  </w:r>
                  <w:r>
                    <w:rPr>
                      <w:rFonts w:hint="default" w:ascii="Times New Roman" w:hAnsi="Times New Roman" w:eastAsia="宋体" w:cs="Times New Roman"/>
                      <w:sz w:val="21"/>
                      <w:szCs w:val="21"/>
                      <w:u w:val="single"/>
                      <w:vertAlign w:val="subscript"/>
                    </w:rPr>
                    <w:t>3</w:t>
                  </w:r>
                </w:p>
              </w:tc>
              <w:tc>
                <w:tcPr>
                  <w:tcW w:w="1681" w:type="dxa"/>
                  <w:vAlign w:val="center"/>
                </w:tcPr>
                <w:p>
                  <w:pPr>
                    <w:pStyle w:val="38"/>
                    <w:ind w:firstLine="0" w:firstLineChars="0"/>
                    <w:rPr>
                      <w:rFonts w:hint="default" w:eastAsia="宋体"/>
                      <w:u w:val="single"/>
                      <w:lang w:val="en-US" w:eastAsia="zh-CN"/>
                    </w:rPr>
                  </w:pPr>
                  <w:r>
                    <w:rPr>
                      <w:rFonts w:hint="eastAsia"/>
                      <w:u w:val="single"/>
                      <w:lang w:val="en-US" w:eastAsia="zh-CN"/>
                    </w:rPr>
                    <w:t>0.394</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4" w:hRule="atLeast"/>
                <w:jc w:val="center"/>
              </w:trPr>
              <w:tc>
                <w:tcPr>
                  <w:tcW w:w="984" w:type="pct"/>
                  <w:gridSpan w:val="2"/>
                  <w:vMerge w:val="continue"/>
                  <w:vAlign w:val="center"/>
                </w:tcPr>
                <w:p>
                  <w:pPr>
                    <w:pStyle w:val="38"/>
                    <w:rPr>
                      <w:u w:val="single"/>
                    </w:rPr>
                  </w:pPr>
                </w:p>
              </w:tc>
              <w:tc>
                <w:tcPr>
                  <w:tcW w:w="3044" w:type="pct"/>
                  <w:gridSpan w:val="3"/>
                  <w:vAlign w:val="center"/>
                </w:tcPr>
                <w:p>
                  <w:pPr>
                    <w:pStyle w:val="38"/>
                    <w:ind w:firstLine="0" w:firstLineChars="0"/>
                    <w:rPr>
                      <w:rFonts w:hint="eastAsia"/>
                      <w:u w:val="single"/>
                    </w:rPr>
                  </w:pPr>
                  <w:r>
                    <w:rPr>
                      <w:rFonts w:hint="default" w:ascii="Times New Roman" w:hAnsi="Times New Roman" w:eastAsia="宋体" w:cs="Times New Roman"/>
                      <w:sz w:val="21"/>
                      <w:szCs w:val="21"/>
                      <w:u w:val="single"/>
                    </w:rPr>
                    <w:t>H</w:t>
                  </w:r>
                  <w:r>
                    <w:rPr>
                      <w:rFonts w:hint="default" w:ascii="Times New Roman" w:hAnsi="Times New Roman" w:eastAsia="宋体" w:cs="Times New Roman"/>
                      <w:sz w:val="21"/>
                      <w:szCs w:val="21"/>
                      <w:u w:val="single"/>
                      <w:vertAlign w:val="subscript"/>
                    </w:rPr>
                    <w:t>2</w:t>
                  </w:r>
                  <w:r>
                    <w:rPr>
                      <w:rFonts w:hint="default" w:ascii="Times New Roman" w:hAnsi="Times New Roman" w:eastAsia="宋体" w:cs="Times New Roman"/>
                      <w:sz w:val="21"/>
                      <w:szCs w:val="21"/>
                      <w:u w:val="single"/>
                    </w:rPr>
                    <w:t>S</w:t>
                  </w:r>
                </w:p>
              </w:tc>
              <w:tc>
                <w:tcPr>
                  <w:tcW w:w="1681" w:type="dxa"/>
                  <w:vAlign w:val="center"/>
                </w:tcPr>
                <w:p>
                  <w:pPr>
                    <w:pStyle w:val="38"/>
                    <w:ind w:firstLine="0" w:firstLineChars="0"/>
                    <w:rPr>
                      <w:rFonts w:hint="eastAsia"/>
                      <w:u w:val="single"/>
                      <w:lang w:val="en-US" w:eastAsia="zh-CN"/>
                    </w:rPr>
                  </w:pPr>
                  <w:r>
                    <w:rPr>
                      <w:rFonts w:hint="eastAsia"/>
                      <w:u w:val="single"/>
                      <w:lang w:val="en-US" w:eastAsia="zh-CN"/>
                    </w:rPr>
                    <w:t>0.013</w:t>
                  </w:r>
                </w:p>
              </w:tc>
            </w:tr>
          </w:tbl>
          <w:p>
            <w:pPr>
              <w:pStyle w:val="27"/>
              <w:bidi w:val="0"/>
              <w:rPr>
                <w:rFonts w:hint="default" w:ascii="Times New Roman" w:hAnsi="Times New Roman" w:eastAsia="宋体" w:cs="宋体"/>
                <w:b/>
                <w:bCs w:val="0"/>
                <w:color w:val="auto"/>
                <w:spacing w:val="-11"/>
                <w:kern w:val="0"/>
                <w:sz w:val="21"/>
                <w:szCs w:val="21"/>
                <w:u w:val="single"/>
                <w:lang w:val="en-US" w:eastAsia="zh-CN" w:bidi="zh-CN"/>
              </w:rPr>
            </w:pPr>
            <w:r>
              <w:rPr>
                <w:rFonts w:hint="eastAsia" w:ascii="Times New Roman" w:hAnsi="Times New Roman" w:eastAsia="宋体" w:cs="宋体"/>
                <w:b/>
                <w:bCs w:val="0"/>
                <w:color w:val="auto"/>
                <w:spacing w:val="-11"/>
                <w:kern w:val="0"/>
                <w:sz w:val="21"/>
                <w:szCs w:val="21"/>
                <w:u w:val="single"/>
                <w:lang w:val="zh-CN" w:eastAsia="zh-CN" w:bidi="zh-CN"/>
              </w:rPr>
              <w:t>表</w:t>
            </w:r>
            <w:r>
              <w:rPr>
                <w:rFonts w:hint="eastAsia" w:ascii="Times New Roman" w:hAnsi="Times New Roman" w:eastAsia="宋体" w:cs="宋体"/>
                <w:b/>
                <w:bCs w:val="0"/>
                <w:color w:val="auto"/>
                <w:spacing w:val="-11"/>
                <w:kern w:val="0"/>
                <w:sz w:val="21"/>
                <w:szCs w:val="21"/>
                <w:u w:val="single"/>
                <w:lang w:val="en-US" w:eastAsia="zh-CN" w:bidi="zh-CN"/>
              </w:rPr>
              <w:t>4.2-7 排放口基本情况</w:t>
            </w:r>
          </w:p>
          <w:tbl>
            <w:tblPr>
              <w:tblStyle w:val="32"/>
              <w:tblW w:w="8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353"/>
              <w:gridCol w:w="1388"/>
              <w:gridCol w:w="1268"/>
              <w:gridCol w:w="1043"/>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Merge w:val="restart"/>
                  <w:vAlign w:val="center"/>
                </w:tcPr>
                <w:p>
                  <w:pPr>
                    <w:pStyle w:val="38"/>
                    <w:bidi w:val="0"/>
                    <w:jc w:val="center"/>
                    <w:rPr>
                      <w:rFonts w:hint="eastAsia" w:eastAsia="宋体"/>
                      <w:u w:val="single"/>
                      <w:lang w:eastAsia="zh-CN"/>
                    </w:rPr>
                  </w:pPr>
                  <w:r>
                    <w:rPr>
                      <w:rFonts w:hint="eastAsia"/>
                      <w:u w:val="single"/>
                      <w:lang w:eastAsia="zh-CN"/>
                    </w:rPr>
                    <w:t>排放口编号</w:t>
                  </w:r>
                </w:p>
              </w:tc>
              <w:tc>
                <w:tcPr>
                  <w:tcW w:w="1353" w:type="dxa"/>
                  <w:vMerge w:val="restart"/>
                  <w:vAlign w:val="center"/>
                </w:tcPr>
                <w:p>
                  <w:pPr>
                    <w:pStyle w:val="38"/>
                    <w:bidi w:val="0"/>
                    <w:jc w:val="center"/>
                    <w:rPr>
                      <w:rFonts w:hint="eastAsia" w:eastAsia="宋体"/>
                      <w:u w:val="single"/>
                      <w:lang w:eastAsia="zh-CN"/>
                    </w:rPr>
                  </w:pPr>
                  <w:r>
                    <w:rPr>
                      <w:rFonts w:hint="eastAsia"/>
                      <w:u w:val="single"/>
                      <w:lang w:eastAsia="zh-CN"/>
                    </w:rPr>
                    <w:t>污染物种类</w:t>
                  </w:r>
                </w:p>
              </w:tc>
              <w:tc>
                <w:tcPr>
                  <w:tcW w:w="2656" w:type="dxa"/>
                  <w:gridSpan w:val="2"/>
                  <w:vAlign w:val="center"/>
                </w:tcPr>
                <w:p>
                  <w:pPr>
                    <w:pStyle w:val="38"/>
                    <w:bidi w:val="0"/>
                    <w:jc w:val="center"/>
                    <w:rPr>
                      <w:rFonts w:hint="eastAsia"/>
                      <w:u w:val="single"/>
                    </w:rPr>
                  </w:pPr>
                  <w:r>
                    <w:rPr>
                      <w:rFonts w:hint="eastAsia"/>
                      <w:u w:val="single"/>
                      <w:lang w:eastAsia="zh-CN"/>
                    </w:rPr>
                    <w:t>排放口地理坐标</w:t>
                  </w:r>
                </w:p>
              </w:tc>
              <w:tc>
                <w:tcPr>
                  <w:tcW w:w="1043" w:type="dxa"/>
                  <w:vMerge w:val="restart"/>
                  <w:vAlign w:val="center"/>
                </w:tcPr>
                <w:p>
                  <w:pPr>
                    <w:pStyle w:val="38"/>
                    <w:bidi w:val="0"/>
                    <w:jc w:val="center"/>
                    <w:rPr>
                      <w:rFonts w:hint="eastAsia" w:eastAsia="宋体"/>
                      <w:u w:val="single"/>
                      <w:lang w:eastAsia="zh-CN"/>
                    </w:rPr>
                  </w:pPr>
                  <w:r>
                    <w:rPr>
                      <w:rFonts w:hint="eastAsia"/>
                      <w:u w:val="single"/>
                      <w:lang w:eastAsia="zh-CN"/>
                    </w:rPr>
                    <w:t>排气筒高度（</w:t>
                  </w:r>
                  <w:r>
                    <w:rPr>
                      <w:rFonts w:hint="eastAsia"/>
                      <w:u w:val="single"/>
                      <w:lang w:val="en-US" w:eastAsia="zh-CN"/>
                    </w:rPr>
                    <w:t>m</w:t>
                  </w:r>
                  <w:r>
                    <w:rPr>
                      <w:rFonts w:hint="eastAsia"/>
                      <w:u w:val="single"/>
                      <w:lang w:eastAsia="zh-CN"/>
                    </w:rPr>
                    <w:t>）</w:t>
                  </w:r>
                </w:p>
              </w:tc>
              <w:tc>
                <w:tcPr>
                  <w:tcW w:w="1233" w:type="dxa"/>
                  <w:vMerge w:val="restart"/>
                  <w:vAlign w:val="center"/>
                </w:tcPr>
                <w:p>
                  <w:pPr>
                    <w:pStyle w:val="38"/>
                    <w:bidi w:val="0"/>
                    <w:jc w:val="center"/>
                    <w:rPr>
                      <w:rFonts w:hint="eastAsia" w:eastAsia="宋体"/>
                      <w:u w:val="single"/>
                      <w:lang w:eastAsia="zh-CN"/>
                    </w:rPr>
                  </w:pPr>
                  <w:r>
                    <w:rPr>
                      <w:rFonts w:hint="eastAsia"/>
                      <w:u w:val="single"/>
                      <w:lang w:eastAsia="zh-CN"/>
                    </w:rPr>
                    <w:t>排气筒出口内径（</w:t>
                  </w:r>
                  <w:r>
                    <w:rPr>
                      <w:rFonts w:hint="eastAsia"/>
                      <w:u w:val="single"/>
                      <w:lang w:val="en-US" w:eastAsia="zh-CN"/>
                    </w:rPr>
                    <w:t>m</w:t>
                  </w:r>
                  <w:r>
                    <w:rPr>
                      <w:rFonts w:hint="eastAsia"/>
                      <w:u w:val="single"/>
                      <w:lang w:eastAsia="zh-CN"/>
                    </w:rPr>
                    <w:t>）</w:t>
                  </w:r>
                </w:p>
              </w:tc>
              <w:tc>
                <w:tcPr>
                  <w:tcW w:w="1233" w:type="dxa"/>
                  <w:vMerge w:val="restart"/>
                  <w:vAlign w:val="center"/>
                </w:tcPr>
                <w:p>
                  <w:pPr>
                    <w:pStyle w:val="38"/>
                    <w:bidi w:val="0"/>
                    <w:jc w:val="center"/>
                    <w:rPr>
                      <w:rFonts w:hint="eastAsia" w:eastAsia="宋体"/>
                      <w:u w:val="single"/>
                      <w:lang w:eastAsia="zh-CN"/>
                    </w:rPr>
                  </w:pPr>
                  <w:r>
                    <w:rPr>
                      <w:rFonts w:hint="eastAsia"/>
                      <w:u w:val="single"/>
                      <w:lang w:eastAsia="zh-CN"/>
                    </w:rPr>
                    <w:t>排气温度（</w:t>
                  </w:r>
                  <w:r>
                    <w:rPr>
                      <w:rFonts w:hint="eastAsia" w:ascii="宋体" w:hAnsi="宋体" w:eastAsia="宋体" w:cs="宋体"/>
                      <w:u w:val="single"/>
                      <w:lang w:eastAsia="zh-CN"/>
                    </w:rPr>
                    <w:t>℃</w:t>
                  </w:r>
                  <w:r>
                    <w:rPr>
                      <w:rFonts w:hint="eastAsia"/>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Merge w:val="continue"/>
                  <w:vAlign w:val="center"/>
                </w:tcPr>
                <w:p>
                  <w:pPr>
                    <w:pStyle w:val="38"/>
                    <w:bidi w:val="0"/>
                    <w:jc w:val="center"/>
                    <w:rPr>
                      <w:rFonts w:hint="eastAsia"/>
                      <w:u w:val="single"/>
                      <w:lang w:eastAsia="zh-CN"/>
                    </w:rPr>
                  </w:pPr>
                </w:p>
              </w:tc>
              <w:tc>
                <w:tcPr>
                  <w:tcW w:w="1353" w:type="dxa"/>
                  <w:vMerge w:val="continue"/>
                  <w:vAlign w:val="center"/>
                </w:tcPr>
                <w:p>
                  <w:pPr>
                    <w:pStyle w:val="38"/>
                    <w:bidi w:val="0"/>
                    <w:jc w:val="center"/>
                    <w:rPr>
                      <w:rFonts w:hint="eastAsia"/>
                      <w:u w:val="single"/>
                      <w:lang w:eastAsia="zh-CN"/>
                    </w:rPr>
                  </w:pPr>
                </w:p>
              </w:tc>
              <w:tc>
                <w:tcPr>
                  <w:tcW w:w="1388" w:type="dxa"/>
                  <w:vAlign w:val="center"/>
                </w:tcPr>
                <w:p>
                  <w:pPr>
                    <w:pStyle w:val="38"/>
                    <w:bidi w:val="0"/>
                    <w:jc w:val="center"/>
                    <w:rPr>
                      <w:rFonts w:hint="eastAsia"/>
                      <w:u w:val="single"/>
                      <w:lang w:eastAsia="zh-CN"/>
                    </w:rPr>
                  </w:pPr>
                  <w:r>
                    <w:rPr>
                      <w:rFonts w:hint="eastAsia"/>
                      <w:u w:val="single"/>
                      <w:lang w:eastAsia="zh-CN"/>
                    </w:rPr>
                    <w:t>经度</w:t>
                  </w:r>
                </w:p>
              </w:tc>
              <w:tc>
                <w:tcPr>
                  <w:tcW w:w="1268" w:type="dxa"/>
                  <w:vAlign w:val="center"/>
                </w:tcPr>
                <w:p>
                  <w:pPr>
                    <w:pStyle w:val="38"/>
                    <w:bidi w:val="0"/>
                    <w:jc w:val="center"/>
                    <w:rPr>
                      <w:rFonts w:hint="eastAsia" w:eastAsia="宋体"/>
                      <w:u w:val="single"/>
                      <w:lang w:eastAsia="zh-CN"/>
                    </w:rPr>
                  </w:pPr>
                  <w:r>
                    <w:rPr>
                      <w:rFonts w:hint="eastAsia"/>
                      <w:u w:val="single"/>
                      <w:lang w:eastAsia="zh-CN"/>
                    </w:rPr>
                    <w:t>纬度</w:t>
                  </w:r>
                </w:p>
              </w:tc>
              <w:tc>
                <w:tcPr>
                  <w:tcW w:w="1043" w:type="dxa"/>
                  <w:vMerge w:val="continue"/>
                  <w:vAlign w:val="center"/>
                </w:tcPr>
                <w:p>
                  <w:pPr>
                    <w:pStyle w:val="38"/>
                    <w:bidi w:val="0"/>
                    <w:jc w:val="center"/>
                    <w:rPr>
                      <w:rFonts w:hint="eastAsia"/>
                      <w:u w:val="single"/>
                    </w:rPr>
                  </w:pPr>
                </w:p>
              </w:tc>
              <w:tc>
                <w:tcPr>
                  <w:tcW w:w="1233" w:type="dxa"/>
                  <w:vMerge w:val="continue"/>
                  <w:vAlign w:val="center"/>
                </w:tcPr>
                <w:p>
                  <w:pPr>
                    <w:pStyle w:val="38"/>
                    <w:bidi w:val="0"/>
                    <w:jc w:val="center"/>
                    <w:rPr>
                      <w:rFonts w:hint="eastAsia"/>
                      <w:u w:val="single"/>
                    </w:rPr>
                  </w:pPr>
                </w:p>
              </w:tc>
              <w:tc>
                <w:tcPr>
                  <w:tcW w:w="1233" w:type="dxa"/>
                  <w:vMerge w:val="continue"/>
                  <w:vAlign w:val="center"/>
                </w:tcPr>
                <w:p>
                  <w:pPr>
                    <w:pStyle w:val="38"/>
                    <w:bidi w:val="0"/>
                    <w:jc w:val="center"/>
                    <w:rPr>
                      <w:rFonts w:hint="eastAsia"/>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Align w:val="center"/>
                </w:tcPr>
                <w:p>
                  <w:pPr>
                    <w:pStyle w:val="38"/>
                    <w:bidi w:val="0"/>
                    <w:jc w:val="center"/>
                    <w:rPr>
                      <w:rFonts w:hint="default" w:eastAsia="宋体"/>
                      <w:u w:val="single"/>
                      <w:lang w:val="en-US" w:eastAsia="zh-CN"/>
                    </w:rPr>
                  </w:pPr>
                  <w:r>
                    <w:rPr>
                      <w:rFonts w:hint="eastAsia"/>
                      <w:u w:val="single"/>
                      <w:lang w:val="en-US" w:eastAsia="zh-CN"/>
                    </w:rPr>
                    <w:t>DA001</w:t>
                  </w:r>
                </w:p>
              </w:tc>
              <w:tc>
                <w:tcPr>
                  <w:tcW w:w="1353" w:type="dxa"/>
                  <w:vAlign w:val="center"/>
                </w:tcPr>
                <w:p>
                  <w:pPr>
                    <w:pStyle w:val="38"/>
                    <w:bidi w:val="0"/>
                    <w:jc w:val="center"/>
                    <w:rPr>
                      <w:rFonts w:hint="eastAsia" w:eastAsia="宋体"/>
                      <w:u w:val="single"/>
                      <w:vertAlign w:val="baseline"/>
                      <w:lang w:eastAsia="zh-CN"/>
                    </w:rPr>
                  </w:pPr>
                  <w:r>
                    <w:rPr>
                      <w:rFonts w:hint="eastAsia"/>
                      <w:u w:val="single"/>
                      <w:lang w:eastAsia="zh-CN"/>
                    </w:rPr>
                    <w:t>颗粒物、NH</w:t>
                  </w:r>
                  <w:r>
                    <w:rPr>
                      <w:rFonts w:hint="eastAsia"/>
                      <w:u w:val="single"/>
                      <w:vertAlign w:val="subscript"/>
                      <w:lang w:eastAsia="zh-CN"/>
                    </w:rPr>
                    <w:t>3</w:t>
                  </w:r>
                  <w:r>
                    <w:rPr>
                      <w:rFonts w:hint="eastAsia"/>
                      <w:u w:val="single"/>
                      <w:vertAlign w:val="baseline"/>
                      <w:lang w:eastAsia="zh-CN"/>
                    </w:rPr>
                    <w:t>、</w:t>
                  </w:r>
                  <w:r>
                    <w:rPr>
                      <w:rFonts w:hint="default" w:ascii="Times New Roman" w:hAnsi="Times New Roman" w:eastAsia="宋体" w:cs="Times New Roman"/>
                      <w:sz w:val="21"/>
                      <w:szCs w:val="21"/>
                      <w:u w:val="single"/>
                    </w:rPr>
                    <w:t>H</w:t>
                  </w:r>
                  <w:r>
                    <w:rPr>
                      <w:rFonts w:hint="default" w:ascii="Times New Roman" w:hAnsi="Times New Roman" w:eastAsia="宋体" w:cs="Times New Roman"/>
                      <w:sz w:val="21"/>
                      <w:szCs w:val="21"/>
                      <w:u w:val="single"/>
                      <w:vertAlign w:val="subscript"/>
                    </w:rPr>
                    <w:t>2</w:t>
                  </w:r>
                  <w:r>
                    <w:rPr>
                      <w:rFonts w:hint="default" w:ascii="Times New Roman" w:hAnsi="Times New Roman" w:eastAsia="宋体" w:cs="Times New Roman"/>
                      <w:sz w:val="21"/>
                      <w:szCs w:val="21"/>
                      <w:u w:val="single"/>
                    </w:rPr>
                    <w:t>S</w:t>
                  </w:r>
                </w:p>
              </w:tc>
              <w:tc>
                <w:tcPr>
                  <w:tcW w:w="1388" w:type="dxa"/>
                  <w:vAlign w:val="center"/>
                </w:tcPr>
                <w:p>
                  <w:pPr>
                    <w:pStyle w:val="38"/>
                    <w:bidi w:val="0"/>
                    <w:jc w:val="center"/>
                    <w:rPr>
                      <w:rFonts w:hint="eastAsia"/>
                      <w:u w:val="single"/>
                    </w:rPr>
                  </w:pPr>
                  <w:r>
                    <w:rPr>
                      <w:rFonts w:hint="eastAsia"/>
                      <w:u w:val="single"/>
                    </w:rPr>
                    <w:t>109°37′50.853″</w:t>
                  </w:r>
                </w:p>
              </w:tc>
              <w:tc>
                <w:tcPr>
                  <w:tcW w:w="1268" w:type="dxa"/>
                  <w:vAlign w:val="center"/>
                </w:tcPr>
                <w:p>
                  <w:pPr>
                    <w:pStyle w:val="38"/>
                    <w:bidi w:val="0"/>
                    <w:jc w:val="center"/>
                    <w:rPr>
                      <w:rFonts w:hint="eastAsia"/>
                      <w:u w:val="single"/>
                    </w:rPr>
                  </w:pPr>
                  <w:r>
                    <w:rPr>
                      <w:rFonts w:hint="eastAsia"/>
                      <w:u w:val="single"/>
                    </w:rPr>
                    <w:t>27°56′21.952″</w:t>
                  </w:r>
                </w:p>
              </w:tc>
              <w:tc>
                <w:tcPr>
                  <w:tcW w:w="1043" w:type="dxa"/>
                  <w:vAlign w:val="center"/>
                </w:tcPr>
                <w:p>
                  <w:pPr>
                    <w:pStyle w:val="38"/>
                    <w:bidi w:val="0"/>
                    <w:jc w:val="center"/>
                    <w:rPr>
                      <w:rFonts w:hint="default" w:eastAsia="宋体"/>
                      <w:u w:val="single"/>
                      <w:lang w:val="en-US" w:eastAsia="zh-CN"/>
                    </w:rPr>
                  </w:pPr>
                  <w:r>
                    <w:rPr>
                      <w:rFonts w:hint="eastAsia"/>
                      <w:u w:val="single"/>
                      <w:lang w:val="en-US" w:eastAsia="zh-CN"/>
                    </w:rPr>
                    <w:t>15</w:t>
                  </w:r>
                </w:p>
              </w:tc>
              <w:tc>
                <w:tcPr>
                  <w:tcW w:w="1233" w:type="dxa"/>
                  <w:vAlign w:val="center"/>
                </w:tcPr>
                <w:p>
                  <w:pPr>
                    <w:pStyle w:val="38"/>
                    <w:bidi w:val="0"/>
                    <w:jc w:val="center"/>
                    <w:rPr>
                      <w:rFonts w:hint="default" w:eastAsia="宋体"/>
                      <w:u w:val="single"/>
                      <w:lang w:val="en-US" w:eastAsia="zh-CN"/>
                    </w:rPr>
                  </w:pPr>
                  <w:r>
                    <w:rPr>
                      <w:rFonts w:hint="eastAsia"/>
                      <w:u w:val="single"/>
                      <w:lang w:val="en-US" w:eastAsia="zh-CN"/>
                    </w:rPr>
                    <w:t>0.5</w:t>
                  </w:r>
                </w:p>
              </w:tc>
              <w:tc>
                <w:tcPr>
                  <w:tcW w:w="1233" w:type="dxa"/>
                  <w:vAlign w:val="center"/>
                </w:tcPr>
                <w:p>
                  <w:pPr>
                    <w:pStyle w:val="38"/>
                    <w:bidi w:val="0"/>
                    <w:jc w:val="center"/>
                    <w:rPr>
                      <w:rFonts w:hint="default" w:eastAsia="宋体"/>
                      <w:u w:val="single"/>
                      <w:lang w:val="en-US" w:eastAsia="zh-CN"/>
                    </w:rPr>
                  </w:pPr>
                  <w:r>
                    <w:rPr>
                      <w:rFonts w:hint="eastAsia"/>
                      <w:u w:val="single"/>
                      <w:lang w:val="en-US" w:eastAsia="zh-CN"/>
                    </w:rPr>
                    <w:t>25</w:t>
                  </w:r>
                </w:p>
              </w:tc>
            </w:tr>
          </w:tbl>
          <w:p>
            <w:pPr>
              <w:keepNext w:val="0"/>
              <w:keepLines w:val="0"/>
              <w:pageBreakBefore w:val="0"/>
              <w:widowControl w:val="0"/>
              <w:kinsoku/>
              <w:wordWrap w:val="0"/>
              <w:overflowPunct/>
              <w:topLinePunct w:val="0"/>
              <w:autoSpaceDE w:val="0"/>
              <w:autoSpaceDN w:val="0"/>
              <w:bidi w:val="0"/>
              <w:adjustRightInd/>
              <w:snapToGrid/>
              <w:spacing w:before="0" w:beforeLines="100"/>
              <w:textAlignment w:val="auto"/>
              <w:rPr>
                <w:u w:val="single"/>
              </w:rPr>
            </w:pPr>
            <w:r>
              <w:rPr>
                <w:rFonts w:hint="eastAsia"/>
                <w:u w:val="single"/>
              </w:rPr>
              <w:t>（2）无组织排放量核算</w:t>
            </w:r>
          </w:p>
          <w:p>
            <w:pPr>
              <w:pStyle w:val="39"/>
              <w:rPr>
                <w:u w:val="single"/>
              </w:rPr>
            </w:pPr>
            <w:r>
              <w:rPr>
                <w:rFonts w:hint="eastAsia"/>
                <w:u w:val="single"/>
              </w:rPr>
              <w:t>表</w:t>
            </w:r>
            <w:r>
              <w:rPr>
                <w:rFonts w:hint="eastAsia"/>
                <w:u w:val="single"/>
                <w:lang w:val="en-US" w:eastAsia="zh-CN"/>
              </w:rPr>
              <w:t>4.2-7</w:t>
            </w:r>
            <w:r>
              <w:rPr>
                <w:rFonts w:hint="eastAsia"/>
                <w:u w:val="single"/>
              </w:rPr>
              <w:t xml:space="preserve"> </w:t>
            </w:r>
            <w:r>
              <w:rPr>
                <w:rFonts w:hint="eastAsia"/>
                <w:u w:val="single"/>
                <w:lang w:val="en-US"/>
              </w:rPr>
              <w:t xml:space="preserve">  </w:t>
            </w:r>
            <w:r>
              <w:rPr>
                <w:rFonts w:hint="eastAsia"/>
                <w:u w:val="single"/>
              </w:rPr>
              <w:t>大气污染物无组织排放量核算表</w:t>
            </w:r>
          </w:p>
          <w:tbl>
            <w:tblPr>
              <w:tblStyle w:val="31"/>
              <w:tblW w:w="8375"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33"/>
              <w:gridCol w:w="908"/>
              <w:gridCol w:w="818"/>
              <w:gridCol w:w="968"/>
              <w:gridCol w:w="934"/>
              <w:gridCol w:w="1973"/>
              <w:gridCol w:w="1405"/>
              <w:gridCol w:w="93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9" w:hRule="atLeast"/>
                <w:jc w:val="center"/>
              </w:trPr>
              <w:tc>
                <w:tcPr>
                  <w:tcW w:w="433" w:type="dxa"/>
                  <w:vMerge w:val="restart"/>
                  <w:vAlign w:val="center"/>
                </w:tcPr>
                <w:p>
                  <w:pPr>
                    <w:pStyle w:val="38"/>
                    <w:rPr>
                      <w:u w:val="single"/>
                      <w:lang w:val="en-US"/>
                    </w:rPr>
                  </w:pPr>
                  <w:r>
                    <w:rPr>
                      <w:rFonts w:hint="eastAsia"/>
                      <w:u w:val="single"/>
                      <w:lang w:val="en-US"/>
                    </w:rPr>
                    <w:t>序号</w:t>
                  </w:r>
                </w:p>
              </w:tc>
              <w:tc>
                <w:tcPr>
                  <w:tcW w:w="908" w:type="dxa"/>
                  <w:vMerge w:val="restart"/>
                  <w:vAlign w:val="center"/>
                </w:tcPr>
                <w:p>
                  <w:pPr>
                    <w:pStyle w:val="38"/>
                    <w:rPr>
                      <w:u w:val="single"/>
                      <w:lang w:val="en-US"/>
                    </w:rPr>
                  </w:pPr>
                  <w:r>
                    <w:rPr>
                      <w:rFonts w:hint="eastAsia"/>
                      <w:u w:val="single"/>
                      <w:lang w:val="en-US"/>
                    </w:rPr>
                    <w:t>排放口编号</w:t>
                  </w:r>
                </w:p>
              </w:tc>
              <w:tc>
                <w:tcPr>
                  <w:tcW w:w="818" w:type="dxa"/>
                  <w:vMerge w:val="restart"/>
                  <w:vAlign w:val="center"/>
                </w:tcPr>
                <w:p>
                  <w:pPr>
                    <w:pStyle w:val="38"/>
                    <w:rPr>
                      <w:u w:val="single"/>
                      <w:lang w:val="en-US"/>
                    </w:rPr>
                  </w:pPr>
                  <w:r>
                    <w:rPr>
                      <w:rFonts w:hint="eastAsia"/>
                      <w:u w:val="single"/>
                      <w:lang w:val="en-US"/>
                    </w:rPr>
                    <w:t>产污环节</w:t>
                  </w:r>
                </w:p>
              </w:tc>
              <w:tc>
                <w:tcPr>
                  <w:tcW w:w="968" w:type="dxa"/>
                  <w:vMerge w:val="restart"/>
                  <w:vAlign w:val="center"/>
                </w:tcPr>
                <w:p>
                  <w:pPr>
                    <w:pStyle w:val="38"/>
                    <w:rPr>
                      <w:u w:val="single"/>
                      <w:lang w:val="en-US"/>
                    </w:rPr>
                  </w:pPr>
                  <w:r>
                    <w:rPr>
                      <w:rFonts w:hint="eastAsia"/>
                      <w:u w:val="single"/>
                      <w:lang w:val="en-US"/>
                    </w:rPr>
                    <w:t>污染物</w:t>
                  </w:r>
                </w:p>
              </w:tc>
              <w:tc>
                <w:tcPr>
                  <w:tcW w:w="934" w:type="dxa"/>
                  <w:vMerge w:val="restart"/>
                  <w:vAlign w:val="center"/>
                </w:tcPr>
                <w:p>
                  <w:pPr>
                    <w:pStyle w:val="38"/>
                    <w:rPr>
                      <w:u w:val="single"/>
                      <w:lang w:val="en-US"/>
                    </w:rPr>
                  </w:pPr>
                  <w:r>
                    <w:rPr>
                      <w:rFonts w:hint="eastAsia"/>
                      <w:u w:val="single"/>
                      <w:lang w:val="en-US"/>
                    </w:rPr>
                    <w:t>主要污染防治措施</w:t>
                  </w:r>
                </w:p>
              </w:tc>
              <w:tc>
                <w:tcPr>
                  <w:tcW w:w="3378" w:type="dxa"/>
                  <w:gridSpan w:val="2"/>
                  <w:vAlign w:val="center"/>
                </w:tcPr>
                <w:p>
                  <w:pPr>
                    <w:pStyle w:val="38"/>
                    <w:rPr>
                      <w:u w:val="single"/>
                      <w:lang w:val="en-US"/>
                    </w:rPr>
                  </w:pPr>
                  <w:r>
                    <w:rPr>
                      <w:rFonts w:hint="eastAsia"/>
                      <w:u w:val="single"/>
                      <w:lang w:val="en-US"/>
                    </w:rPr>
                    <w:t>国家或地方污染物排放标准</w:t>
                  </w:r>
                </w:p>
              </w:tc>
              <w:tc>
                <w:tcPr>
                  <w:tcW w:w="936" w:type="dxa"/>
                  <w:vMerge w:val="restart"/>
                  <w:vAlign w:val="center"/>
                </w:tcPr>
                <w:p>
                  <w:pPr>
                    <w:pStyle w:val="38"/>
                    <w:rPr>
                      <w:u w:val="single"/>
                      <w:lang w:val="en-US"/>
                    </w:rPr>
                  </w:pPr>
                  <w:r>
                    <w:rPr>
                      <w:rFonts w:hint="eastAsia"/>
                      <w:u w:val="single"/>
                      <w:lang w:val="en-US"/>
                    </w:rPr>
                    <w:t>年排放量（</w:t>
                  </w:r>
                  <w:r>
                    <w:rPr>
                      <w:rFonts w:hint="eastAsia"/>
                      <w:u w:val="single"/>
                      <w:lang w:val="en-US" w:eastAsia="zh-CN"/>
                    </w:rPr>
                    <w:t>kg</w:t>
                  </w:r>
                  <w:r>
                    <w:rPr>
                      <w:rFonts w:hint="eastAsia"/>
                      <w:u w:val="single"/>
                      <w:lang w:val="en-US"/>
                    </w:rPr>
                    <w:t>/a）</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77" w:hRule="atLeast"/>
                <w:jc w:val="center"/>
              </w:trPr>
              <w:tc>
                <w:tcPr>
                  <w:tcW w:w="433" w:type="dxa"/>
                  <w:vMerge w:val="continue"/>
                  <w:vAlign w:val="center"/>
                </w:tcPr>
                <w:p>
                  <w:pPr>
                    <w:pStyle w:val="38"/>
                    <w:rPr>
                      <w:u w:val="single"/>
                      <w:lang w:val="en-US"/>
                    </w:rPr>
                  </w:pPr>
                </w:p>
              </w:tc>
              <w:tc>
                <w:tcPr>
                  <w:tcW w:w="908" w:type="dxa"/>
                  <w:vMerge w:val="continue"/>
                  <w:vAlign w:val="center"/>
                </w:tcPr>
                <w:p>
                  <w:pPr>
                    <w:pStyle w:val="38"/>
                    <w:rPr>
                      <w:u w:val="single"/>
                      <w:lang w:val="en-US"/>
                    </w:rPr>
                  </w:pPr>
                </w:p>
              </w:tc>
              <w:tc>
                <w:tcPr>
                  <w:tcW w:w="818" w:type="dxa"/>
                  <w:vMerge w:val="continue"/>
                  <w:vAlign w:val="center"/>
                </w:tcPr>
                <w:p>
                  <w:pPr>
                    <w:pStyle w:val="38"/>
                    <w:rPr>
                      <w:u w:val="single"/>
                      <w:lang w:val="en-US"/>
                    </w:rPr>
                  </w:pPr>
                </w:p>
              </w:tc>
              <w:tc>
                <w:tcPr>
                  <w:tcW w:w="968" w:type="dxa"/>
                  <w:vMerge w:val="continue"/>
                  <w:vAlign w:val="center"/>
                </w:tcPr>
                <w:p>
                  <w:pPr>
                    <w:pStyle w:val="38"/>
                    <w:rPr>
                      <w:u w:val="single"/>
                      <w:lang w:val="en-US"/>
                    </w:rPr>
                  </w:pPr>
                </w:p>
              </w:tc>
              <w:tc>
                <w:tcPr>
                  <w:tcW w:w="934" w:type="dxa"/>
                  <w:vMerge w:val="continue"/>
                  <w:vAlign w:val="center"/>
                </w:tcPr>
                <w:p>
                  <w:pPr>
                    <w:pStyle w:val="38"/>
                    <w:rPr>
                      <w:u w:val="single"/>
                      <w:lang w:val="en-US"/>
                    </w:rPr>
                  </w:pPr>
                </w:p>
              </w:tc>
              <w:tc>
                <w:tcPr>
                  <w:tcW w:w="1973" w:type="dxa"/>
                  <w:vAlign w:val="center"/>
                </w:tcPr>
                <w:p>
                  <w:pPr>
                    <w:pStyle w:val="38"/>
                    <w:rPr>
                      <w:u w:val="single"/>
                      <w:lang w:val="en-US"/>
                    </w:rPr>
                  </w:pPr>
                  <w:r>
                    <w:rPr>
                      <w:rFonts w:hint="eastAsia"/>
                      <w:u w:val="single"/>
                      <w:lang w:val="en-US"/>
                    </w:rPr>
                    <w:t>标准名称</w:t>
                  </w:r>
                </w:p>
              </w:tc>
              <w:tc>
                <w:tcPr>
                  <w:tcW w:w="1405" w:type="dxa"/>
                  <w:vAlign w:val="center"/>
                </w:tcPr>
                <w:p>
                  <w:pPr>
                    <w:pStyle w:val="38"/>
                    <w:rPr>
                      <w:u w:val="single"/>
                      <w:lang w:val="en-US"/>
                    </w:rPr>
                  </w:pPr>
                  <w:r>
                    <w:rPr>
                      <w:rFonts w:hint="eastAsia"/>
                      <w:u w:val="single"/>
                      <w:lang w:val="en-US"/>
                    </w:rPr>
                    <w:t>浓度限值/（</w:t>
                  </w:r>
                  <w:r>
                    <w:rPr>
                      <w:u w:val="single"/>
                      <w:lang w:val="en-US"/>
                    </w:rPr>
                    <w:t>μ</w:t>
                  </w:r>
                  <w:r>
                    <w:rPr>
                      <w:rFonts w:hint="eastAsia"/>
                      <w:u w:val="single"/>
                      <w:lang w:val="en-US"/>
                    </w:rPr>
                    <w:t>g/m</w:t>
                  </w:r>
                  <w:r>
                    <w:rPr>
                      <w:rFonts w:hint="eastAsia"/>
                      <w:u w:val="single"/>
                      <w:vertAlign w:val="superscript"/>
                      <w:lang w:val="en-US"/>
                    </w:rPr>
                    <w:t>3</w:t>
                  </w:r>
                  <w:r>
                    <w:rPr>
                      <w:rFonts w:hint="eastAsia"/>
                      <w:u w:val="single"/>
                      <w:lang w:val="en-US"/>
                    </w:rPr>
                    <w:t>）</w:t>
                  </w:r>
                </w:p>
              </w:tc>
              <w:tc>
                <w:tcPr>
                  <w:tcW w:w="936" w:type="dxa"/>
                  <w:vMerge w:val="continue"/>
                  <w:vAlign w:val="center"/>
                </w:tcPr>
                <w:p>
                  <w:pPr>
                    <w:pStyle w:val="38"/>
                    <w:rPr>
                      <w:u w:val="single"/>
                      <w:lang w:val="en-US"/>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66" w:hRule="atLeast"/>
                <w:jc w:val="center"/>
              </w:trPr>
              <w:tc>
                <w:tcPr>
                  <w:tcW w:w="433" w:type="dxa"/>
                  <w:vMerge w:val="restart"/>
                  <w:vAlign w:val="center"/>
                </w:tcPr>
                <w:p>
                  <w:pPr>
                    <w:pStyle w:val="38"/>
                    <w:rPr>
                      <w:u w:val="single"/>
                      <w:lang w:val="en-US"/>
                    </w:rPr>
                  </w:pPr>
                  <w:r>
                    <w:rPr>
                      <w:rFonts w:hint="eastAsia"/>
                      <w:u w:val="single"/>
                      <w:lang w:val="en-US"/>
                    </w:rPr>
                    <w:t>1</w:t>
                  </w:r>
                </w:p>
              </w:tc>
              <w:tc>
                <w:tcPr>
                  <w:tcW w:w="908" w:type="dxa"/>
                  <w:vMerge w:val="restart"/>
                  <w:vAlign w:val="center"/>
                </w:tcPr>
                <w:p>
                  <w:pPr>
                    <w:pStyle w:val="38"/>
                    <w:rPr>
                      <w:rFonts w:hint="eastAsia" w:eastAsia="宋体"/>
                      <w:u w:val="single"/>
                      <w:lang w:val="en-US" w:eastAsia="zh-CN"/>
                    </w:rPr>
                  </w:pPr>
                  <w:r>
                    <w:rPr>
                      <w:rFonts w:hint="eastAsia"/>
                      <w:u w:val="single"/>
                      <w:lang w:val="en-US" w:eastAsia="zh-CN"/>
                    </w:rPr>
                    <w:t>/</w:t>
                  </w:r>
                </w:p>
              </w:tc>
              <w:tc>
                <w:tcPr>
                  <w:tcW w:w="818" w:type="dxa"/>
                  <w:vMerge w:val="restart"/>
                  <w:vAlign w:val="center"/>
                </w:tcPr>
                <w:p>
                  <w:pPr>
                    <w:pStyle w:val="38"/>
                    <w:rPr>
                      <w:rFonts w:hint="eastAsia" w:eastAsia="宋体"/>
                      <w:u w:val="single"/>
                      <w:lang w:val="en-US" w:eastAsia="zh-CN"/>
                    </w:rPr>
                  </w:pPr>
                  <w:r>
                    <w:rPr>
                      <w:rFonts w:hint="eastAsia"/>
                      <w:u w:val="single"/>
                      <w:lang w:val="en-US"/>
                    </w:rPr>
                    <w:t>垃圾卸料、压缩</w:t>
                  </w:r>
                  <w:r>
                    <w:rPr>
                      <w:rFonts w:hint="eastAsia"/>
                      <w:u w:val="single"/>
                      <w:lang w:val="en-US" w:eastAsia="zh-CN"/>
                    </w:rPr>
                    <w:t>及渗滤液</w:t>
                  </w:r>
                </w:p>
              </w:tc>
              <w:tc>
                <w:tcPr>
                  <w:tcW w:w="968" w:type="dxa"/>
                  <w:vAlign w:val="center"/>
                </w:tcPr>
                <w:p>
                  <w:pPr>
                    <w:pStyle w:val="38"/>
                    <w:rPr>
                      <w:u w:val="single"/>
                      <w:lang w:val="en-US"/>
                    </w:rPr>
                  </w:pPr>
                  <w:r>
                    <w:rPr>
                      <w:rFonts w:hint="eastAsia"/>
                      <w:u w:val="single"/>
                      <w:lang w:val="en-US"/>
                    </w:rPr>
                    <w:t>颗粒物</w:t>
                  </w:r>
                </w:p>
              </w:tc>
              <w:tc>
                <w:tcPr>
                  <w:tcW w:w="934" w:type="dxa"/>
                  <w:vAlign w:val="center"/>
                </w:tcPr>
                <w:p>
                  <w:pPr>
                    <w:pStyle w:val="38"/>
                    <w:rPr>
                      <w:u w:val="single"/>
                      <w:lang w:val="en-US"/>
                    </w:rPr>
                  </w:pPr>
                  <w:r>
                    <w:rPr>
                      <w:rFonts w:hint="eastAsia" w:cs="Times New Roman"/>
                      <w:sz w:val="21"/>
                      <w:szCs w:val="21"/>
                      <w:u w:val="single"/>
                      <w:lang w:eastAsia="zh-CN"/>
                    </w:rPr>
                    <w:t>料口喷雾降尘系统、</w:t>
                  </w:r>
                  <w:r>
                    <w:rPr>
                      <w:rFonts w:hint="eastAsia" w:eastAsia="宋体"/>
                      <w:u w:val="single"/>
                      <w:lang w:val="en-US" w:eastAsia="zh-CN"/>
                    </w:rPr>
                    <w:t>空间异味喷淋除臭系统</w:t>
                  </w:r>
                </w:p>
              </w:tc>
              <w:tc>
                <w:tcPr>
                  <w:tcW w:w="1973" w:type="dxa"/>
                  <w:vAlign w:val="center"/>
                </w:tcPr>
                <w:p>
                  <w:pPr>
                    <w:pStyle w:val="38"/>
                    <w:rPr>
                      <w:rFonts w:hint="eastAsia" w:eastAsia="宋体"/>
                      <w:u w:val="single"/>
                      <w:lang w:val="en-US" w:eastAsia="zh-CN"/>
                    </w:rPr>
                  </w:pPr>
                  <w:r>
                    <w:rPr>
                      <w:u w:val="single"/>
                      <w:lang w:val="en-US"/>
                    </w:rPr>
                    <w:t>《</w:t>
                  </w:r>
                  <w:r>
                    <w:rPr>
                      <w:u w:val="single"/>
                    </w:rPr>
                    <w:t>大气污染物综合排放标准</w:t>
                  </w:r>
                  <w:r>
                    <w:rPr>
                      <w:u w:val="single"/>
                      <w:lang w:val="en-US"/>
                    </w:rPr>
                    <w:t>》（GB18483-2001）中</w:t>
                  </w:r>
                  <w:r>
                    <w:rPr>
                      <w:rFonts w:hint="eastAsia"/>
                      <w:u w:val="single"/>
                      <w:lang w:val="en-US" w:eastAsia="zh-CN"/>
                    </w:rPr>
                    <w:t>无组织监控浓度限制</w:t>
                  </w:r>
                </w:p>
              </w:tc>
              <w:tc>
                <w:tcPr>
                  <w:tcW w:w="1405" w:type="dxa"/>
                  <w:vAlign w:val="center"/>
                </w:tcPr>
                <w:p>
                  <w:pPr>
                    <w:pStyle w:val="38"/>
                    <w:rPr>
                      <w:rFonts w:hint="eastAsia" w:eastAsia="宋体"/>
                      <w:u w:val="single"/>
                      <w:lang w:val="en-US" w:eastAsia="zh-CN"/>
                    </w:rPr>
                  </w:pPr>
                  <w:r>
                    <w:rPr>
                      <w:rFonts w:hint="eastAsia"/>
                      <w:u w:val="single"/>
                      <w:lang w:val="en-US" w:eastAsia="zh-CN"/>
                    </w:rPr>
                    <w:t>/</w:t>
                  </w:r>
                </w:p>
              </w:tc>
              <w:tc>
                <w:tcPr>
                  <w:tcW w:w="936" w:type="dxa"/>
                  <w:vAlign w:val="center"/>
                </w:tcPr>
                <w:p>
                  <w:pPr>
                    <w:pStyle w:val="38"/>
                    <w:rPr>
                      <w:rFonts w:hint="default" w:eastAsia="宋体"/>
                      <w:u w:val="single"/>
                      <w:lang w:val="en-US" w:eastAsia="zh-CN"/>
                    </w:rPr>
                  </w:pPr>
                  <w:r>
                    <w:rPr>
                      <w:rFonts w:hint="eastAsia"/>
                      <w:u w:val="single"/>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66" w:hRule="atLeast"/>
                <w:jc w:val="center"/>
              </w:trPr>
              <w:tc>
                <w:tcPr>
                  <w:tcW w:w="433" w:type="dxa"/>
                  <w:vMerge w:val="continue"/>
                  <w:vAlign w:val="center"/>
                </w:tcPr>
                <w:p>
                  <w:pPr>
                    <w:pStyle w:val="38"/>
                    <w:rPr>
                      <w:u w:val="single"/>
                      <w:lang w:val="en-US"/>
                    </w:rPr>
                  </w:pPr>
                </w:p>
              </w:tc>
              <w:tc>
                <w:tcPr>
                  <w:tcW w:w="908" w:type="dxa"/>
                  <w:vMerge w:val="continue"/>
                  <w:vAlign w:val="center"/>
                </w:tcPr>
                <w:p>
                  <w:pPr>
                    <w:pStyle w:val="38"/>
                    <w:rPr>
                      <w:u w:val="single"/>
                      <w:lang w:val="en-US"/>
                    </w:rPr>
                  </w:pPr>
                </w:p>
              </w:tc>
              <w:tc>
                <w:tcPr>
                  <w:tcW w:w="818" w:type="dxa"/>
                  <w:vMerge w:val="continue"/>
                  <w:vAlign w:val="center"/>
                </w:tcPr>
                <w:p>
                  <w:pPr>
                    <w:pStyle w:val="38"/>
                    <w:rPr>
                      <w:u w:val="single"/>
                      <w:lang w:val="en-US"/>
                    </w:rPr>
                  </w:pPr>
                </w:p>
              </w:tc>
              <w:tc>
                <w:tcPr>
                  <w:tcW w:w="968" w:type="dxa"/>
                  <w:vAlign w:val="center"/>
                </w:tcPr>
                <w:p>
                  <w:pPr>
                    <w:pStyle w:val="38"/>
                    <w:rPr>
                      <w:u w:val="single"/>
                      <w:lang w:val="en-US"/>
                    </w:rPr>
                  </w:pPr>
                  <w:r>
                    <w:rPr>
                      <w:rFonts w:hint="default" w:ascii="Times New Roman" w:hAnsi="Times New Roman" w:eastAsia="宋体" w:cs="Times New Roman"/>
                      <w:sz w:val="21"/>
                      <w:szCs w:val="21"/>
                      <w:u w:val="single"/>
                    </w:rPr>
                    <w:t>NH</w:t>
                  </w:r>
                  <w:r>
                    <w:rPr>
                      <w:rFonts w:hint="default" w:ascii="Times New Roman" w:hAnsi="Times New Roman" w:eastAsia="宋体" w:cs="Times New Roman"/>
                      <w:sz w:val="21"/>
                      <w:szCs w:val="21"/>
                      <w:u w:val="single"/>
                      <w:vertAlign w:val="subscript"/>
                    </w:rPr>
                    <w:t>3</w:t>
                  </w:r>
                </w:p>
              </w:tc>
              <w:tc>
                <w:tcPr>
                  <w:tcW w:w="934" w:type="dxa"/>
                  <w:vMerge w:val="restart"/>
                  <w:vAlign w:val="center"/>
                </w:tcPr>
                <w:p>
                  <w:pPr>
                    <w:pStyle w:val="38"/>
                    <w:rPr>
                      <w:rFonts w:hint="eastAsia" w:eastAsia="宋体"/>
                      <w:u w:val="single"/>
                      <w:lang w:val="en-US" w:eastAsia="zh-CN"/>
                    </w:rPr>
                  </w:pPr>
                  <w:r>
                    <w:rPr>
                      <w:rFonts w:hint="eastAsia" w:eastAsia="宋体"/>
                      <w:u w:val="single"/>
                      <w:lang w:val="en-US" w:eastAsia="zh-CN"/>
                    </w:rPr>
                    <w:t>空间异味喷淋除臭系统</w:t>
                  </w:r>
                </w:p>
              </w:tc>
              <w:tc>
                <w:tcPr>
                  <w:tcW w:w="1973" w:type="dxa"/>
                  <w:vMerge w:val="restart"/>
                  <w:vAlign w:val="center"/>
                </w:tcPr>
                <w:p>
                  <w:pPr>
                    <w:pStyle w:val="38"/>
                    <w:rPr>
                      <w:u w:val="single"/>
                      <w:lang w:val="en-US"/>
                    </w:rPr>
                  </w:pPr>
                  <w:r>
                    <w:rPr>
                      <w:rFonts w:hint="default" w:ascii="Times New Roman" w:hAnsi="Times New Roman" w:cs="Times New Roman"/>
                      <w:u w:val="single"/>
                    </w:rPr>
                    <w:t>《恶臭污染物排放标准》（GB14554-93）二级标准</w:t>
                  </w:r>
                </w:p>
              </w:tc>
              <w:tc>
                <w:tcPr>
                  <w:tcW w:w="1405" w:type="dxa"/>
                  <w:vAlign w:val="center"/>
                </w:tcPr>
                <w:p>
                  <w:pPr>
                    <w:pStyle w:val="38"/>
                    <w:rPr>
                      <w:rFonts w:hint="default" w:eastAsia="宋体"/>
                      <w:u w:val="single"/>
                      <w:lang w:val="en-US" w:eastAsia="zh-CN"/>
                    </w:rPr>
                  </w:pPr>
                  <w:r>
                    <w:rPr>
                      <w:rFonts w:hint="eastAsia"/>
                      <w:u w:val="single"/>
                      <w:lang w:val="en-US" w:eastAsia="zh-CN"/>
                    </w:rPr>
                    <w:t>/</w:t>
                  </w:r>
                </w:p>
              </w:tc>
              <w:tc>
                <w:tcPr>
                  <w:tcW w:w="936" w:type="dxa"/>
                  <w:vAlign w:val="center"/>
                </w:tcPr>
                <w:p>
                  <w:pPr>
                    <w:pStyle w:val="38"/>
                    <w:rPr>
                      <w:rFonts w:hint="default" w:eastAsia="宋体"/>
                      <w:u w:val="single"/>
                      <w:lang w:val="en-US" w:eastAsia="zh-CN"/>
                    </w:rPr>
                  </w:pPr>
                  <w:r>
                    <w:rPr>
                      <w:rFonts w:hint="eastAsia"/>
                      <w:u w:val="single"/>
                      <w:lang w:val="en-US" w:eastAsia="zh-CN"/>
                    </w:rPr>
                    <w:t>0.438</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66" w:hRule="atLeast"/>
                <w:jc w:val="center"/>
              </w:trPr>
              <w:tc>
                <w:tcPr>
                  <w:tcW w:w="433" w:type="dxa"/>
                  <w:vMerge w:val="continue"/>
                  <w:vAlign w:val="center"/>
                </w:tcPr>
                <w:p>
                  <w:pPr>
                    <w:pStyle w:val="38"/>
                    <w:rPr>
                      <w:u w:val="single"/>
                      <w:lang w:val="en-US"/>
                    </w:rPr>
                  </w:pPr>
                </w:p>
              </w:tc>
              <w:tc>
                <w:tcPr>
                  <w:tcW w:w="908" w:type="dxa"/>
                  <w:vMerge w:val="continue"/>
                  <w:vAlign w:val="center"/>
                </w:tcPr>
                <w:p>
                  <w:pPr>
                    <w:pStyle w:val="38"/>
                    <w:rPr>
                      <w:u w:val="single"/>
                      <w:lang w:val="en-US"/>
                    </w:rPr>
                  </w:pPr>
                </w:p>
              </w:tc>
              <w:tc>
                <w:tcPr>
                  <w:tcW w:w="818" w:type="dxa"/>
                  <w:vMerge w:val="continue"/>
                  <w:vAlign w:val="center"/>
                </w:tcPr>
                <w:p>
                  <w:pPr>
                    <w:pStyle w:val="38"/>
                    <w:rPr>
                      <w:u w:val="single"/>
                      <w:lang w:val="en-US"/>
                    </w:rPr>
                  </w:pPr>
                </w:p>
              </w:tc>
              <w:tc>
                <w:tcPr>
                  <w:tcW w:w="968" w:type="dxa"/>
                  <w:vAlign w:val="center"/>
                </w:tcPr>
                <w:p>
                  <w:pPr>
                    <w:pStyle w:val="38"/>
                    <w:rPr>
                      <w:rFonts w:hint="eastAsia"/>
                      <w:u w:val="single"/>
                    </w:rPr>
                  </w:pPr>
                  <w:r>
                    <w:rPr>
                      <w:rFonts w:hint="default" w:ascii="Times New Roman" w:hAnsi="Times New Roman" w:eastAsia="宋体" w:cs="Times New Roman"/>
                      <w:sz w:val="21"/>
                      <w:szCs w:val="21"/>
                      <w:u w:val="single"/>
                    </w:rPr>
                    <w:t>H</w:t>
                  </w:r>
                  <w:r>
                    <w:rPr>
                      <w:rFonts w:hint="default" w:ascii="Times New Roman" w:hAnsi="Times New Roman" w:eastAsia="宋体" w:cs="Times New Roman"/>
                      <w:sz w:val="21"/>
                      <w:szCs w:val="21"/>
                      <w:u w:val="single"/>
                      <w:vertAlign w:val="subscript"/>
                    </w:rPr>
                    <w:t>2</w:t>
                  </w:r>
                  <w:r>
                    <w:rPr>
                      <w:rFonts w:hint="default" w:ascii="Times New Roman" w:hAnsi="Times New Roman" w:eastAsia="宋体" w:cs="Times New Roman"/>
                      <w:sz w:val="21"/>
                      <w:szCs w:val="21"/>
                      <w:u w:val="single"/>
                    </w:rPr>
                    <w:t>S</w:t>
                  </w:r>
                </w:p>
              </w:tc>
              <w:tc>
                <w:tcPr>
                  <w:tcW w:w="934" w:type="dxa"/>
                  <w:vMerge w:val="continue"/>
                  <w:vAlign w:val="center"/>
                </w:tcPr>
                <w:p>
                  <w:pPr>
                    <w:pStyle w:val="38"/>
                    <w:rPr>
                      <w:u w:val="single"/>
                      <w:lang w:val="en-US"/>
                    </w:rPr>
                  </w:pPr>
                </w:p>
              </w:tc>
              <w:tc>
                <w:tcPr>
                  <w:tcW w:w="1973" w:type="dxa"/>
                  <w:vMerge w:val="continue"/>
                  <w:vAlign w:val="center"/>
                </w:tcPr>
                <w:p>
                  <w:pPr>
                    <w:pStyle w:val="38"/>
                    <w:rPr>
                      <w:u w:val="single"/>
                      <w:lang w:val="en-US"/>
                    </w:rPr>
                  </w:pPr>
                </w:p>
              </w:tc>
              <w:tc>
                <w:tcPr>
                  <w:tcW w:w="1405" w:type="dxa"/>
                  <w:vAlign w:val="center"/>
                </w:tcPr>
                <w:p>
                  <w:pPr>
                    <w:pStyle w:val="38"/>
                    <w:rPr>
                      <w:rFonts w:hint="default" w:eastAsia="宋体"/>
                      <w:u w:val="single"/>
                      <w:lang w:val="en-US" w:eastAsia="zh-CN"/>
                    </w:rPr>
                  </w:pPr>
                  <w:r>
                    <w:rPr>
                      <w:rFonts w:hint="eastAsia"/>
                      <w:u w:val="single"/>
                      <w:lang w:val="en-US" w:eastAsia="zh-CN"/>
                    </w:rPr>
                    <w:t>/</w:t>
                  </w:r>
                </w:p>
              </w:tc>
              <w:tc>
                <w:tcPr>
                  <w:tcW w:w="936" w:type="dxa"/>
                  <w:vAlign w:val="center"/>
                </w:tcPr>
                <w:p>
                  <w:pPr>
                    <w:pStyle w:val="38"/>
                    <w:rPr>
                      <w:rFonts w:hint="default"/>
                      <w:u w:val="single"/>
                      <w:lang w:val="en-US" w:eastAsia="zh-CN"/>
                    </w:rPr>
                  </w:pPr>
                  <w:r>
                    <w:rPr>
                      <w:rFonts w:hint="eastAsia"/>
                      <w:u w:val="single"/>
                      <w:lang w:val="en-US" w:eastAsia="zh-CN"/>
                    </w:rPr>
                    <w:t>0.0365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2159" w:type="dxa"/>
                  <w:gridSpan w:val="3"/>
                  <w:vMerge w:val="restart"/>
                  <w:vAlign w:val="center"/>
                </w:tcPr>
                <w:p>
                  <w:pPr>
                    <w:pStyle w:val="38"/>
                    <w:rPr>
                      <w:u w:val="single"/>
                      <w:lang w:val="en-US"/>
                    </w:rPr>
                  </w:pPr>
                  <w:r>
                    <w:rPr>
                      <w:rFonts w:hint="eastAsia"/>
                      <w:u w:val="single"/>
                      <w:lang w:val="en-US"/>
                    </w:rPr>
                    <w:t>无组织排放合计</w:t>
                  </w:r>
                </w:p>
              </w:tc>
              <w:tc>
                <w:tcPr>
                  <w:tcW w:w="5280" w:type="dxa"/>
                  <w:gridSpan w:val="4"/>
                  <w:vAlign w:val="center"/>
                </w:tcPr>
                <w:p>
                  <w:pPr>
                    <w:pStyle w:val="38"/>
                    <w:rPr>
                      <w:u w:val="single"/>
                      <w:lang w:val="en-US"/>
                    </w:rPr>
                  </w:pPr>
                  <w:r>
                    <w:rPr>
                      <w:rFonts w:hint="eastAsia"/>
                      <w:u w:val="single"/>
                      <w:lang w:val="en-US"/>
                    </w:rPr>
                    <w:t>颗粒物</w:t>
                  </w:r>
                </w:p>
              </w:tc>
              <w:tc>
                <w:tcPr>
                  <w:tcW w:w="936" w:type="dxa"/>
                  <w:vAlign w:val="center"/>
                </w:tcPr>
                <w:p>
                  <w:pPr>
                    <w:pStyle w:val="38"/>
                    <w:ind w:firstLine="0" w:firstLineChars="0"/>
                    <w:rPr>
                      <w:rFonts w:hint="default" w:eastAsia="宋体"/>
                      <w:u w:val="single"/>
                      <w:lang w:val="en-US" w:eastAsia="zh-CN"/>
                    </w:rPr>
                  </w:pPr>
                  <w:r>
                    <w:rPr>
                      <w:rFonts w:hint="eastAsia"/>
                      <w:u w:val="single"/>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9" w:hRule="atLeast"/>
                <w:jc w:val="center"/>
              </w:trPr>
              <w:tc>
                <w:tcPr>
                  <w:tcW w:w="2159" w:type="dxa"/>
                  <w:gridSpan w:val="3"/>
                  <w:vMerge w:val="continue"/>
                  <w:vAlign w:val="center"/>
                </w:tcPr>
                <w:p>
                  <w:pPr>
                    <w:pStyle w:val="38"/>
                    <w:rPr>
                      <w:u w:val="single"/>
                      <w:lang w:val="en-US"/>
                    </w:rPr>
                  </w:pPr>
                </w:p>
              </w:tc>
              <w:tc>
                <w:tcPr>
                  <w:tcW w:w="5280" w:type="dxa"/>
                  <w:gridSpan w:val="4"/>
                  <w:vAlign w:val="center"/>
                </w:tcPr>
                <w:p>
                  <w:pPr>
                    <w:pStyle w:val="38"/>
                    <w:rPr>
                      <w:rFonts w:hint="eastAsia" w:eastAsia="宋体"/>
                      <w:u w:val="single"/>
                      <w:lang w:val="en-US" w:eastAsia="zh-CN"/>
                    </w:rPr>
                  </w:pPr>
                  <w:r>
                    <w:rPr>
                      <w:rFonts w:hint="default" w:ascii="Times New Roman" w:hAnsi="Times New Roman" w:eastAsia="宋体" w:cs="Times New Roman"/>
                      <w:sz w:val="21"/>
                      <w:szCs w:val="21"/>
                      <w:u w:val="single"/>
                    </w:rPr>
                    <w:t>NH</w:t>
                  </w:r>
                  <w:r>
                    <w:rPr>
                      <w:rFonts w:hint="default" w:ascii="Times New Roman" w:hAnsi="Times New Roman" w:eastAsia="宋体" w:cs="Times New Roman"/>
                      <w:sz w:val="21"/>
                      <w:szCs w:val="21"/>
                      <w:u w:val="single"/>
                      <w:vertAlign w:val="subscript"/>
                    </w:rPr>
                    <w:t>3</w:t>
                  </w:r>
                </w:p>
              </w:tc>
              <w:tc>
                <w:tcPr>
                  <w:tcW w:w="936" w:type="dxa"/>
                  <w:vAlign w:val="center"/>
                </w:tcPr>
                <w:p>
                  <w:pPr>
                    <w:pStyle w:val="38"/>
                    <w:ind w:firstLine="0" w:firstLineChars="0"/>
                    <w:rPr>
                      <w:rFonts w:hint="default" w:eastAsia="宋体"/>
                      <w:u w:val="single"/>
                      <w:lang w:val="en-US" w:eastAsia="zh-CN"/>
                    </w:rPr>
                  </w:pPr>
                  <w:r>
                    <w:rPr>
                      <w:rFonts w:hint="eastAsia"/>
                      <w:u w:val="single"/>
                      <w:lang w:val="en-US" w:eastAsia="zh-CN"/>
                    </w:rPr>
                    <w:t>0.438</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9" w:hRule="atLeast"/>
                <w:jc w:val="center"/>
              </w:trPr>
              <w:tc>
                <w:tcPr>
                  <w:tcW w:w="2159" w:type="dxa"/>
                  <w:gridSpan w:val="3"/>
                  <w:vAlign w:val="center"/>
                </w:tcPr>
                <w:p>
                  <w:pPr>
                    <w:pStyle w:val="38"/>
                    <w:rPr>
                      <w:u w:val="single"/>
                      <w:lang w:val="en-US"/>
                    </w:rPr>
                  </w:pPr>
                </w:p>
              </w:tc>
              <w:tc>
                <w:tcPr>
                  <w:tcW w:w="5280" w:type="dxa"/>
                  <w:gridSpan w:val="4"/>
                  <w:vAlign w:val="center"/>
                </w:tcPr>
                <w:p>
                  <w:pPr>
                    <w:pStyle w:val="38"/>
                    <w:rPr>
                      <w:rFonts w:hint="eastAsia"/>
                      <w:u w:val="single"/>
                      <w:lang w:val="en-US" w:eastAsia="zh-CN"/>
                    </w:rPr>
                  </w:pPr>
                  <w:r>
                    <w:rPr>
                      <w:rFonts w:hint="default" w:ascii="Times New Roman" w:hAnsi="Times New Roman" w:eastAsia="宋体" w:cs="Times New Roman"/>
                      <w:sz w:val="21"/>
                      <w:szCs w:val="21"/>
                      <w:u w:val="single"/>
                    </w:rPr>
                    <w:t>H</w:t>
                  </w:r>
                  <w:r>
                    <w:rPr>
                      <w:rFonts w:hint="default" w:ascii="Times New Roman" w:hAnsi="Times New Roman" w:eastAsia="宋体" w:cs="Times New Roman"/>
                      <w:sz w:val="21"/>
                      <w:szCs w:val="21"/>
                      <w:u w:val="single"/>
                      <w:vertAlign w:val="subscript"/>
                    </w:rPr>
                    <w:t>2</w:t>
                  </w:r>
                  <w:r>
                    <w:rPr>
                      <w:rFonts w:hint="default" w:ascii="Times New Roman" w:hAnsi="Times New Roman" w:eastAsia="宋体" w:cs="Times New Roman"/>
                      <w:sz w:val="21"/>
                      <w:szCs w:val="21"/>
                      <w:u w:val="single"/>
                    </w:rPr>
                    <w:t>S</w:t>
                  </w:r>
                </w:p>
              </w:tc>
              <w:tc>
                <w:tcPr>
                  <w:tcW w:w="936" w:type="dxa"/>
                  <w:vAlign w:val="center"/>
                </w:tcPr>
                <w:p>
                  <w:pPr>
                    <w:pStyle w:val="38"/>
                    <w:ind w:firstLine="0" w:firstLineChars="0"/>
                    <w:rPr>
                      <w:rFonts w:hint="default"/>
                      <w:u w:val="single"/>
                      <w:lang w:val="en-US" w:eastAsia="zh-CN"/>
                    </w:rPr>
                  </w:pPr>
                  <w:r>
                    <w:rPr>
                      <w:rFonts w:hint="eastAsia"/>
                      <w:u w:val="single"/>
                      <w:lang w:val="en-US" w:eastAsia="zh-CN"/>
                    </w:rPr>
                    <w:t>0.0365</w:t>
                  </w:r>
                </w:p>
              </w:tc>
            </w:tr>
          </w:tbl>
          <w:p>
            <w:pPr>
              <w:keepNext w:val="0"/>
              <w:keepLines w:val="0"/>
              <w:pageBreakBefore w:val="0"/>
              <w:widowControl/>
              <w:kinsoku/>
              <w:wordWrap w:val="0"/>
              <w:overflowPunct/>
              <w:topLinePunct w:val="0"/>
              <w:autoSpaceDE w:val="0"/>
              <w:autoSpaceDN w:val="0"/>
              <w:bidi w:val="0"/>
              <w:adjustRightInd/>
              <w:snapToGrid/>
              <w:spacing w:before="0" w:beforeLines="100"/>
              <w:ind w:firstLine="480"/>
              <w:textAlignment w:val="auto"/>
              <w:rPr>
                <w:rFonts w:cs="Times New Roman"/>
                <w:szCs w:val="24"/>
                <w:u w:val="single"/>
              </w:rPr>
            </w:pPr>
            <w:r>
              <w:rPr>
                <w:rFonts w:hint="eastAsia" w:cs="Times New Roman"/>
                <w:szCs w:val="24"/>
                <w:u w:val="single"/>
              </w:rPr>
              <w:t>（3）项目主要污染物年排放量核算</w:t>
            </w:r>
          </w:p>
          <w:p>
            <w:pPr>
              <w:pStyle w:val="39"/>
              <w:rPr>
                <w:u w:val="single"/>
              </w:rPr>
            </w:pPr>
            <w:r>
              <w:rPr>
                <w:rFonts w:hint="eastAsia"/>
                <w:u w:val="single"/>
              </w:rPr>
              <w:t>表</w:t>
            </w:r>
            <w:r>
              <w:rPr>
                <w:rFonts w:hint="eastAsia"/>
                <w:u w:val="single"/>
                <w:lang w:val="en-US" w:eastAsia="zh-CN"/>
              </w:rPr>
              <w:t xml:space="preserve">4.2-8    </w:t>
            </w:r>
            <w:r>
              <w:rPr>
                <w:rFonts w:hint="eastAsia"/>
                <w:u w:val="single"/>
                <w:lang w:val="en-US"/>
              </w:rPr>
              <w:t xml:space="preserve"> </w:t>
            </w:r>
            <w:r>
              <w:rPr>
                <w:rFonts w:hint="eastAsia"/>
                <w:u w:val="single"/>
              </w:rPr>
              <w:t>项目主要污染物年排放量核算表</w:t>
            </w:r>
          </w:p>
          <w:tbl>
            <w:tblPr>
              <w:tblStyle w:val="31"/>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1475"/>
              <w:gridCol w:w="2543"/>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423" w:type="dxa"/>
                  <w:vAlign w:val="center"/>
                </w:tcPr>
                <w:p>
                  <w:pPr>
                    <w:pStyle w:val="38"/>
                    <w:rPr>
                      <w:u w:val="single"/>
                    </w:rPr>
                  </w:pPr>
                  <w:r>
                    <w:rPr>
                      <w:rFonts w:hint="eastAsia"/>
                      <w:u w:val="single"/>
                    </w:rPr>
                    <w:t>项目</w:t>
                  </w:r>
                </w:p>
              </w:tc>
              <w:tc>
                <w:tcPr>
                  <w:tcW w:w="1475" w:type="dxa"/>
                  <w:vAlign w:val="center"/>
                </w:tcPr>
                <w:p>
                  <w:pPr>
                    <w:pStyle w:val="38"/>
                    <w:rPr>
                      <w:u w:val="single"/>
                    </w:rPr>
                  </w:pPr>
                  <w:r>
                    <w:rPr>
                      <w:rFonts w:hint="eastAsia"/>
                      <w:u w:val="single"/>
                    </w:rPr>
                    <w:t>序号</w:t>
                  </w:r>
                </w:p>
              </w:tc>
              <w:tc>
                <w:tcPr>
                  <w:tcW w:w="2543" w:type="dxa"/>
                  <w:vAlign w:val="center"/>
                </w:tcPr>
                <w:p>
                  <w:pPr>
                    <w:pStyle w:val="38"/>
                    <w:rPr>
                      <w:u w:val="single"/>
                    </w:rPr>
                  </w:pPr>
                  <w:r>
                    <w:rPr>
                      <w:rFonts w:hint="eastAsia"/>
                      <w:u w:val="single"/>
                    </w:rPr>
                    <w:t>污染物</w:t>
                  </w:r>
                </w:p>
              </w:tc>
              <w:tc>
                <w:tcPr>
                  <w:tcW w:w="1956" w:type="dxa"/>
                  <w:vAlign w:val="center"/>
                </w:tcPr>
                <w:p>
                  <w:pPr>
                    <w:pStyle w:val="38"/>
                    <w:rPr>
                      <w:u w:val="single"/>
                    </w:rPr>
                  </w:pPr>
                  <w:r>
                    <w:rPr>
                      <w:rFonts w:hint="eastAsia"/>
                      <w:u w:val="single"/>
                    </w:rPr>
                    <w:t>年排放量（</w:t>
                  </w:r>
                  <w:r>
                    <w:rPr>
                      <w:rFonts w:hint="eastAsia"/>
                      <w:u w:val="single"/>
                      <w:lang w:val="en-US" w:eastAsia="zh-CN"/>
                    </w:rPr>
                    <w:t>kg</w:t>
                  </w:r>
                  <w:r>
                    <w:rPr>
                      <w:rFonts w:hint="eastAsia"/>
                      <w:u w:val="singl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423" w:type="dxa"/>
                  <w:vMerge w:val="restart"/>
                  <w:vAlign w:val="center"/>
                </w:tcPr>
                <w:p>
                  <w:pPr>
                    <w:pStyle w:val="38"/>
                    <w:rPr>
                      <w:u w:val="single"/>
                    </w:rPr>
                  </w:pPr>
                  <w:r>
                    <w:rPr>
                      <w:rFonts w:hint="eastAsia"/>
                      <w:u w:val="single"/>
                    </w:rPr>
                    <w:t>大气污染物总量控制指标</w:t>
                  </w:r>
                </w:p>
              </w:tc>
              <w:tc>
                <w:tcPr>
                  <w:tcW w:w="1475" w:type="dxa"/>
                  <w:vAlign w:val="center"/>
                </w:tcPr>
                <w:p>
                  <w:pPr>
                    <w:pStyle w:val="38"/>
                    <w:rPr>
                      <w:u w:val="single"/>
                    </w:rPr>
                  </w:pPr>
                  <w:r>
                    <w:rPr>
                      <w:rFonts w:hint="eastAsia"/>
                      <w:u w:val="single"/>
                    </w:rPr>
                    <w:t>1</w:t>
                  </w:r>
                </w:p>
              </w:tc>
              <w:tc>
                <w:tcPr>
                  <w:tcW w:w="2543" w:type="dxa"/>
                  <w:vAlign w:val="center"/>
                </w:tcPr>
                <w:p>
                  <w:pPr>
                    <w:pStyle w:val="38"/>
                    <w:rPr>
                      <w:u w:val="single"/>
                    </w:rPr>
                  </w:pPr>
                  <w:r>
                    <w:rPr>
                      <w:rFonts w:hint="eastAsia"/>
                      <w:u w:val="single"/>
                    </w:rPr>
                    <w:t>颗粒物</w:t>
                  </w:r>
                </w:p>
              </w:tc>
              <w:tc>
                <w:tcPr>
                  <w:tcW w:w="1956" w:type="dxa"/>
                  <w:vAlign w:val="center"/>
                </w:tcPr>
                <w:p>
                  <w:pPr>
                    <w:pStyle w:val="38"/>
                    <w:rPr>
                      <w:rFonts w:hint="default" w:eastAsia="宋体"/>
                      <w:u w:val="single"/>
                      <w:lang w:val="en-US" w:eastAsia="zh-CN"/>
                    </w:rPr>
                  </w:pPr>
                  <w:r>
                    <w:rPr>
                      <w:rFonts w:hint="eastAsia"/>
                      <w:u w:val="single"/>
                      <w:lang w:val="en-US" w:eastAsia="zh-CN"/>
                    </w:rPr>
                    <w:t>138.7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423" w:type="dxa"/>
                  <w:vMerge w:val="continue"/>
                  <w:vAlign w:val="center"/>
                </w:tcPr>
                <w:p>
                  <w:pPr>
                    <w:pStyle w:val="38"/>
                    <w:rPr>
                      <w:u w:val="single"/>
                    </w:rPr>
                  </w:pPr>
                </w:p>
              </w:tc>
              <w:tc>
                <w:tcPr>
                  <w:tcW w:w="1475" w:type="dxa"/>
                  <w:vAlign w:val="center"/>
                </w:tcPr>
                <w:p>
                  <w:pPr>
                    <w:pStyle w:val="38"/>
                    <w:rPr>
                      <w:u w:val="single"/>
                      <w:lang w:val="en-US"/>
                    </w:rPr>
                  </w:pPr>
                  <w:r>
                    <w:rPr>
                      <w:rFonts w:hint="eastAsia"/>
                      <w:u w:val="single"/>
                      <w:lang w:val="en-US"/>
                    </w:rPr>
                    <w:t>2</w:t>
                  </w:r>
                </w:p>
              </w:tc>
              <w:tc>
                <w:tcPr>
                  <w:tcW w:w="2543" w:type="dxa"/>
                  <w:vAlign w:val="center"/>
                </w:tcPr>
                <w:p>
                  <w:pPr>
                    <w:pStyle w:val="38"/>
                    <w:rPr>
                      <w:u w:val="single"/>
                    </w:rPr>
                  </w:pPr>
                  <w:r>
                    <w:rPr>
                      <w:rFonts w:hint="default" w:ascii="Times New Roman" w:hAnsi="Times New Roman" w:eastAsia="宋体" w:cs="Times New Roman"/>
                      <w:sz w:val="21"/>
                      <w:szCs w:val="21"/>
                      <w:u w:val="single"/>
                    </w:rPr>
                    <w:t>NH</w:t>
                  </w:r>
                  <w:r>
                    <w:rPr>
                      <w:rFonts w:hint="default" w:ascii="Times New Roman" w:hAnsi="Times New Roman" w:eastAsia="宋体" w:cs="Times New Roman"/>
                      <w:sz w:val="21"/>
                      <w:szCs w:val="21"/>
                      <w:u w:val="single"/>
                      <w:vertAlign w:val="subscript"/>
                    </w:rPr>
                    <w:t>3</w:t>
                  </w:r>
                </w:p>
              </w:tc>
              <w:tc>
                <w:tcPr>
                  <w:tcW w:w="1956" w:type="dxa"/>
                  <w:vAlign w:val="center"/>
                </w:tcPr>
                <w:p>
                  <w:pPr>
                    <w:pStyle w:val="38"/>
                    <w:rPr>
                      <w:rFonts w:hint="default" w:eastAsia="宋体"/>
                      <w:u w:val="single"/>
                      <w:lang w:val="en-US" w:eastAsia="zh-CN"/>
                    </w:rPr>
                  </w:pPr>
                  <w:r>
                    <w:rPr>
                      <w:rFonts w:hint="eastAsia"/>
                      <w:u w:val="single"/>
                      <w:lang w:val="en-US" w:eastAsia="zh-CN"/>
                    </w:rPr>
                    <w:t>0.832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423" w:type="dxa"/>
                  <w:vMerge w:val="continue"/>
                  <w:vAlign w:val="center"/>
                </w:tcPr>
                <w:p>
                  <w:pPr>
                    <w:pStyle w:val="38"/>
                    <w:rPr>
                      <w:u w:val="single"/>
                    </w:rPr>
                  </w:pPr>
                </w:p>
              </w:tc>
              <w:tc>
                <w:tcPr>
                  <w:tcW w:w="1475" w:type="dxa"/>
                  <w:vAlign w:val="center"/>
                </w:tcPr>
                <w:p>
                  <w:pPr>
                    <w:pStyle w:val="38"/>
                    <w:rPr>
                      <w:rFonts w:hint="eastAsia" w:eastAsia="宋体"/>
                      <w:u w:val="single"/>
                      <w:lang w:val="en-US" w:eastAsia="zh-CN"/>
                    </w:rPr>
                  </w:pPr>
                  <w:r>
                    <w:rPr>
                      <w:rFonts w:hint="eastAsia"/>
                      <w:u w:val="single"/>
                      <w:lang w:val="en-US" w:eastAsia="zh-CN"/>
                    </w:rPr>
                    <w:t>3</w:t>
                  </w:r>
                </w:p>
              </w:tc>
              <w:tc>
                <w:tcPr>
                  <w:tcW w:w="2543" w:type="dxa"/>
                  <w:vAlign w:val="center"/>
                </w:tcPr>
                <w:p>
                  <w:pPr>
                    <w:pStyle w:val="38"/>
                    <w:rPr>
                      <w:rFonts w:hint="eastAsia"/>
                      <w:u w:val="single"/>
                    </w:rPr>
                  </w:pPr>
                  <w:r>
                    <w:rPr>
                      <w:rFonts w:hint="default" w:ascii="Times New Roman" w:hAnsi="Times New Roman" w:eastAsia="宋体" w:cs="Times New Roman"/>
                      <w:sz w:val="21"/>
                      <w:szCs w:val="21"/>
                      <w:u w:val="single"/>
                    </w:rPr>
                    <w:t>H</w:t>
                  </w:r>
                  <w:r>
                    <w:rPr>
                      <w:rFonts w:hint="default" w:ascii="Times New Roman" w:hAnsi="Times New Roman" w:eastAsia="宋体" w:cs="Times New Roman"/>
                      <w:sz w:val="21"/>
                      <w:szCs w:val="21"/>
                      <w:u w:val="single"/>
                      <w:vertAlign w:val="subscript"/>
                    </w:rPr>
                    <w:t>2</w:t>
                  </w:r>
                  <w:r>
                    <w:rPr>
                      <w:rFonts w:hint="default" w:ascii="Times New Roman" w:hAnsi="Times New Roman" w:eastAsia="宋体" w:cs="Times New Roman"/>
                      <w:sz w:val="21"/>
                      <w:szCs w:val="21"/>
                      <w:u w:val="single"/>
                    </w:rPr>
                    <w:t>S</w:t>
                  </w:r>
                </w:p>
              </w:tc>
              <w:tc>
                <w:tcPr>
                  <w:tcW w:w="1956" w:type="dxa"/>
                  <w:vAlign w:val="center"/>
                </w:tcPr>
                <w:p>
                  <w:pPr>
                    <w:pStyle w:val="38"/>
                    <w:rPr>
                      <w:rFonts w:hint="default"/>
                      <w:u w:val="single"/>
                      <w:lang w:val="en-US" w:eastAsia="zh-CN"/>
                    </w:rPr>
                  </w:pPr>
                  <w:r>
                    <w:rPr>
                      <w:rFonts w:hint="eastAsia"/>
                      <w:u w:val="single"/>
                      <w:lang w:val="en-US" w:eastAsia="zh-CN"/>
                    </w:rPr>
                    <w:t>0.0495</w:t>
                  </w:r>
                </w:p>
              </w:tc>
            </w:tr>
          </w:tbl>
          <w:p>
            <w:pPr>
              <w:pStyle w:val="9"/>
              <w:spacing w:before="192" w:after="192"/>
              <w:rPr>
                <w:rFonts w:hint="eastAsia"/>
                <w:lang w:val="en-US" w:eastAsia="zh-CN"/>
              </w:rPr>
            </w:pPr>
            <w:r>
              <w:rPr>
                <w:rFonts w:hint="eastAsia"/>
                <w:lang w:val="en-US" w:eastAsia="zh-CN"/>
              </w:rPr>
              <w:t>4.2.1.4废气日常运行管理要求</w:t>
            </w:r>
          </w:p>
          <w:p>
            <w:pPr>
              <w:bidi w:val="0"/>
              <w:rPr>
                <w:lang w:val="en-US"/>
              </w:rPr>
            </w:pPr>
            <w:r>
              <w:rPr>
                <w:rFonts w:hint="eastAsia"/>
                <w:lang w:val="en-US" w:eastAsia="zh-CN"/>
              </w:rPr>
              <w:t>（1）</w:t>
            </w:r>
            <w:r>
              <w:rPr>
                <w:rFonts w:hint="eastAsia"/>
                <w:lang w:val="en-US"/>
              </w:rPr>
              <w:t>自行监测方案</w:t>
            </w:r>
          </w:p>
          <w:p>
            <w:pPr>
              <w:ind w:firstLine="480"/>
              <w:jc w:val="both"/>
              <w:rPr>
                <w:rFonts w:hint="default" w:eastAsia="宋体"/>
                <w:lang w:val="en-US" w:eastAsia="zh-CN"/>
              </w:rPr>
            </w:pPr>
            <w:r>
              <w:rPr>
                <w:rFonts w:hint="eastAsia" w:cs="Times New Roman"/>
                <w:color w:val="auto"/>
                <w:szCs w:val="24"/>
                <w:u w:val="none"/>
                <w:lang w:val="en-US" w:eastAsia="zh-CN"/>
              </w:rPr>
              <w:t>根据《排污许可证申请与核发技术规范环境--卫生管理业》中</w:t>
            </w:r>
            <w:r>
              <w:rPr>
                <w:rFonts w:hint="eastAsia"/>
                <w:lang w:val="en-US"/>
              </w:rPr>
              <w:t>自行监测管理要求，废气检测指标、点位及频次如下表</w:t>
            </w:r>
            <w:r>
              <w:rPr>
                <w:rFonts w:hint="eastAsia"/>
                <w:lang w:val="en-US" w:eastAsia="zh-CN"/>
              </w:rPr>
              <w:t>4.2-9</w:t>
            </w:r>
            <w:r>
              <w:rPr>
                <w:rFonts w:hint="eastAsia"/>
                <w:lang w:val="en-US"/>
              </w:rPr>
              <w:t>、表</w:t>
            </w:r>
            <w:r>
              <w:rPr>
                <w:rFonts w:hint="eastAsia"/>
                <w:lang w:val="en-US" w:eastAsia="zh-CN"/>
              </w:rPr>
              <w:t>4.2-10</w:t>
            </w:r>
          </w:p>
          <w:p>
            <w:pPr>
              <w:pStyle w:val="39"/>
              <w:rPr>
                <w:lang w:val="en-US"/>
              </w:rPr>
            </w:pPr>
            <w:r>
              <w:rPr>
                <w:rFonts w:hint="eastAsia"/>
                <w:lang w:val="en-US"/>
              </w:rPr>
              <w:t>表</w:t>
            </w:r>
            <w:r>
              <w:rPr>
                <w:rFonts w:hint="eastAsia"/>
                <w:lang w:val="en-US" w:eastAsia="zh-CN"/>
              </w:rPr>
              <w:t>4.2-9</w:t>
            </w:r>
            <w:r>
              <w:rPr>
                <w:rFonts w:hint="eastAsia"/>
                <w:lang w:val="en-US"/>
              </w:rPr>
              <w:t xml:space="preserve">  有组织废气监测点位、指标及最低监测频次</w:t>
            </w:r>
          </w:p>
          <w:tbl>
            <w:tblPr>
              <w:tblStyle w:val="32"/>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2103"/>
              <w:gridCol w:w="2204"/>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9" w:type="dxa"/>
                  <w:vAlign w:val="center"/>
                </w:tcPr>
                <w:p>
                  <w:pPr>
                    <w:pStyle w:val="38"/>
                    <w:rPr>
                      <w:rFonts w:eastAsia="Times New Roman"/>
                      <w:lang w:val="en-US"/>
                    </w:rPr>
                  </w:pPr>
                  <w:r>
                    <w:rPr>
                      <w:rFonts w:hint="eastAsia" w:eastAsia="Times New Roman"/>
                      <w:lang w:val="en-US"/>
                    </w:rPr>
                    <w:t>监测点位</w:t>
                  </w:r>
                </w:p>
              </w:tc>
              <w:tc>
                <w:tcPr>
                  <w:tcW w:w="2103" w:type="dxa"/>
                  <w:vAlign w:val="center"/>
                </w:tcPr>
                <w:p>
                  <w:pPr>
                    <w:pStyle w:val="38"/>
                    <w:rPr>
                      <w:rFonts w:eastAsia="Times New Roman"/>
                      <w:lang w:val="en-US"/>
                    </w:rPr>
                  </w:pPr>
                  <w:r>
                    <w:rPr>
                      <w:rFonts w:hint="eastAsia" w:eastAsia="Times New Roman"/>
                      <w:lang w:val="en-US"/>
                    </w:rPr>
                    <w:t>监测因子</w:t>
                  </w:r>
                </w:p>
              </w:tc>
              <w:tc>
                <w:tcPr>
                  <w:tcW w:w="2204" w:type="dxa"/>
                  <w:vAlign w:val="center"/>
                </w:tcPr>
                <w:p>
                  <w:pPr>
                    <w:pStyle w:val="38"/>
                    <w:rPr>
                      <w:rFonts w:eastAsia="Times New Roman"/>
                      <w:lang w:val="en-US"/>
                    </w:rPr>
                  </w:pPr>
                  <w:r>
                    <w:rPr>
                      <w:rFonts w:hint="eastAsia" w:eastAsia="Times New Roman"/>
                      <w:lang w:val="en-US"/>
                    </w:rPr>
                    <w:t>监测指标</w:t>
                  </w:r>
                </w:p>
              </w:tc>
              <w:tc>
                <w:tcPr>
                  <w:tcW w:w="2303" w:type="dxa"/>
                  <w:vAlign w:val="center"/>
                </w:tcPr>
                <w:p>
                  <w:pPr>
                    <w:pStyle w:val="38"/>
                    <w:rPr>
                      <w:rFonts w:eastAsia="Times New Roman"/>
                      <w:lang w:val="en-US"/>
                    </w:rPr>
                  </w:pPr>
                  <w:r>
                    <w:rPr>
                      <w:rFonts w:hint="eastAsia" w:eastAsia="Times New Roman"/>
                      <w:lang w:val="en-US"/>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9" w:type="dxa"/>
                  <w:vAlign w:val="center"/>
                </w:tcPr>
                <w:p>
                  <w:pPr>
                    <w:pStyle w:val="38"/>
                    <w:rPr>
                      <w:rFonts w:eastAsia="Times New Roman"/>
                      <w:lang w:val="en-US"/>
                    </w:rPr>
                  </w:pPr>
                  <w:r>
                    <w:rPr>
                      <w:rFonts w:hint="eastAsia"/>
                      <w:u w:val="none"/>
                      <w:lang w:val="en-US" w:eastAsia="zh-CN"/>
                    </w:rPr>
                    <w:t>DA001厂区综合废气排气筒</w:t>
                  </w:r>
                </w:p>
              </w:tc>
              <w:tc>
                <w:tcPr>
                  <w:tcW w:w="2103" w:type="dxa"/>
                  <w:vAlign w:val="center"/>
                </w:tcPr>
                <w:p>
                  <w:pPr>
                    <w:pStyle w:val="38"/>
                    <w:rPr>
                      <w:rFonts w:hint="eastAsia" w:eastAsia="宋体"/>
                      <w:lang w:val="en-US" w:eastAsia="zh-CN"/>
                    </w:rPr>
                  </w:pPr>
                  <w:r>
                    <w:rPr>
                      <w:rFonts w:hint="eastAsia" w:eastAsia="宋体"/>
                      <w:lang w:val="en-US" w:eastAsia="zh-CN"/>
                    </w:rPr>
                    <w:t>/</w:t>
                  </w:r>
                </w:p>
              </w:tc>
              <w:tc>
                <w:tcPr>
                  <w:tcW w:w="2204" w:type="dxa"/>
                  <w:vAlign w:val="center"/>
                </w:tcPr>
                <w:p>
                  <w:pPr>
                    <w:pStyle w:val="38"/>
                    <w:rPr>
                      <w:rFonts w:hint="eastAsia" w:eastAsia="宋体"/>
                      <w:lang w:val="en-US" w:eastAsia="zh-CN"/>
                    </w:rPr>
                  </w:pPr>
                  <w:r>
                    <w:rPr>
                      <w:rFonts w:hint="eastAsia" w:eastAsia="Times New Roman"/>
                      <w:lang w:val="en-US"/>
                    </w:rPr>
                    <w:t>颗粒物</w:t>
                  </w:r>
                  <w:r>
                    <w:rPr>
                      <w:rFonts w:hint="eastAsia" w:eastAsia="宋体"/>
                      <w:lang w:val="en-US" w:eastAsia="zh-CN"/>
                    </w:rPr>
                    <w:t>、硫化氢、氨、臭气浓度</w:t>
                  </w:r>
                </w:p>
              </w:tc>
              <w:tc>
                <w:tcPr>
                  <w:tcW w:w="2303" w:type="dxa"/>
                  <w:vAlign w:val="center"/>
                </w:tcPr>
                <w:p>
                  <w:pPr>
                    <w:pStyle w:val="38"/>
                    <w:rPr>
                      <w:rFonts w:eastAsia="Times New Roman"/>
                      <w:lang w:val="en-US"/>
                    </w:rPr>
                  </w:pPr>
                  <w:r>
                    <w:rPr>
                      <w:rFonts w:hint="eastAsia" w:eastAsia="Times New Roman"/>
                      <w:lang w:val="en-US"/>
                    </w:rPr>
                    <w:t>1次/</w:t>
                  </w:r>
                  <w:r>
                    <w:rPr>
                      <w:rFonts w:hint="eastAsia" w:eastAsia="宋体"/>
                      <w:lang w:val="en-US" w:eastAsia="zh-CN"/>
                    </w:rPr>
                    <w:t>半</w:t>
                  </w:r>
                  <w:r>
                    <w:rPr>
                      <w:rFonts w:hint="eastAsia" w:eastAsia="Times New Roman"/>
                      <w:lang w:val="en-US"/>
                    </w:rPr>
                    <w:t>年</w:t>
                  </w:r>
                </w:p>
              </w:tc>
            </w:tr>
          </w:tbl>
          <w:p>
            <w:pPr>
              <w:pStyle w:val="39"/>
              <w:rPr>
                <w:lang w:val="en-US"/>
              </w:rPr>
            </w:pPr>
            <w:r>
              <w:rPr>
                <w:rFonts w:hint="eastAsia"/>
                <w:lang w:val="en-US"/>
              </w:rPr>
              <w:t>表</w:t>
            </w:r>
            <w:r>
              <w:rPr>
                <w:rFonts w:hint="eastAsia"/>
                <w:lang w:val="en-US" w:eastAsia="zh-CN"/>
              </w:rPr>
              <w:t xml:space="preserve">4.2-10  </w:t>
            </w:r>
            <w:r>
              <w:rPr>
                <w:rFonts w:hint="eastAsia"/>
                <w:lang w:val="en-US"/>
              </w:rPr>
              <w:t xml:space="preserve">  无组织废气排放监测指标及最低监测频次</w:t>
            </w:r>
          </w:p>
          <w:tbl>
            <w:tblPr>
              <w:tblStyle w:val="32"/>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6"/>
              <w:gridCol w:w="2886"/>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886" w:type="dxa"/>
                  <w:vAlign w:val="center"/>
                </w:tcPr>
                <w:p>
                  <w:pPr>
                    <w:pStyle w:val="38"/>
                    <w:rPr>
                      <w:rFonts w:eastAsia="Times New Roman"/>
                      <w:lang w:val="en-US"/>
                    </w:rPr>
                  </w:pPr>
                  <w:r>
                    <w:rPr>
                      <w:rFonts w:hint="eastAsia" w:eastAsia="Times New Roman"/>
                      <w:lang w:val="en-US"/>
                    </w:rPr>
                    <w:t>监测点位</w:t>
                  </w:r>
                </w:p>
              </w:tc>
              <w:tc>
                <w:tcPr>
                  <w:tcW w:w="2886" w:type="dxa"/>
                  <w:vAlign w:val="center"/>
                </w:tcPr>
                <w:p>
                  <w:pPr>
                    <w:pStyle w:val="38"/>
                    <w:rPr>
                      <w:rFonts w:eastAsia="Times New Roman"/>
                      <w:lang w:val="en-US"/>
                    </w:rPr>
                  </w:pPr>
                  <w:r>
                    <w:rPr>
                      <w:rFonts w:hint="eastAsia" w:eastAsia="Times New Roman"/>
                      <w:lang w:val="en-US"/>
                    </w:rPr>
                    <w:t>监测指标</w:t>
                  </w:r>
                </w:p>
              </w:tc>
              <w:tc>
                <w:tcPr>
                  <w:tcW w:w="2886" w:type="dxa"/>
                  <w:vAlign w:val="center"/>
                </w:tcPr>
                <w:p>
                  <w:pPr>
                    <w:pStyle w:val="38"/>
                    <w:rPr>
                      <w:rFonts w:eastAsia="Times New Roman"/>
                      <w:lang w:val="en-US"/>
                    </w:rPr>
                  </w:pPr>
                  <w:r>
                    <w:rPr>
                      <w:rFonts w:hint="eastAsia" w:eastAsia="Times New Roman"/>
                      <w:lang w:val="en-US"/>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86" w:type="dxa"/>
                  <w:vAlign w:val="center"/>
                </w:tcPr>
                <w:p>
                  <w:pPr>
                    <w:pStyle w:val="38"/>
                    <w:rPr>
                      <w:rFonts w:eastAsia="Times New Roman"/>
                      <w:lang w:val="en-US"/>
                    </w:rPr>
                  </w:pPr>
                  <w:r>
                    <w:rPr>
                      <w:rFonts w:hint="eastAsia" w:eastAsia="Times New Roman"/>
                      <w:lang w:val="en-US"/>
                    </w:rPr>
                    <w:t>厂界</w:t>
                  </w:r>
                </w:p>
              </w:tc>
              <w:tc>
                <w:tcPr>
                  <w:tcW w:w="2886" w:type="dxa"/>
                  <w:vAlign w:val="center"/>
                </w:tcPr>
                <w:p>
                  <w:pPr>
                    <w:pStyle w:val="38"/>
                    <w:rPr>
                      <w:rFonts w:eastAsia="Times New Roman"/>
                      <w:lang w:val="en-US"/>
                    </w:rPr>
                  </w:pPr>
                  <w:r>
                    <w:rPr>
                      <w:rFonts w:hint="eastAsia" w:eastAsia="Times New Roman"/>
                      <w:lang w:val="en-US"/>
                    </w:rPr>
                    <w:t>颗粒物</w:t>
                  </w:r>
                  <w:r>
                    <w:rPr>
                      <w:rFonts w:hint="eastAsia" w:eastAsia="宋体"/>
                      <w:lang w:val="en-US" w:eastAsia="zh-CN"/>
                    </w:rPr>
                    <w:t>、硫化氢、氨、臭气浓度</w:t>
                  </w:r>
                </w:p>
              </w:tc>
              <w:tc>
                <w:tcPr>
                  <w:tcW w:w="2886" w:type="dxa"/>
                  <w:vAlign w:val="center"/>
                </w:tcPr>
                <w:p>
                  <w:pPr>
                    <w:pStyle w:val="38"/>
                    <w:rPr>
                      <w:rFonts w:hint="eastAsia" w:eastAsia="宋体"/>
                      <w:lang w:val="en-US" w:eastAsia="zh-CN"/>
                    </w:rPr>
                  </w:pPr>
                  <w:r>
                    <w:rPr>
                      <w:rFonts w:hint="eastAsia" w:eastAsia="Times New Roman"/>
                      <w:lang w:val="en-US"/>
                    </w:rPr>
                    <w:t>1次/</w:t>
                  </w:r>
                  <w:r>
                    <w:rPr>
                      <w:rFonts w:hint="eastAsia" w:eastAsia="宋体"/>
                      <w:lang w:val="en-US" w:eastAsia="zh-CN"/>
                    </w:rPr>
                    <w:t>季度</w:t>
                  </w:r>
                </w:p>
              </w:tc>
            </w:tr>
          </w:tbl>
          <w:p>
            <w:pPr>
              <w:bidi w:val="0"/>
              <w:rPr>
                <w:rFonts w:hint="default"/>
                <w:lang w:val="en-US" w:eastAsia="zh-CN"/>
              </w:rPr>
            </w:pPr>
            <w:r>
              <w:rPr>
                <w:rFonts w:hint="eastAsia"/>
                <w:lang w:val="en-US" w:eastAsia="zh-CN"/>
              </w:rPr>
              <w:t>（2）废气运行管理要求</w:t>
            </w:r>
          </w:p>
          <w:p>
            <w:pPr>
              <w:bidi w:val="0"/>
              <w:rPr>
                <w:rFonts w:hint="eastAsia"/>
                <w:lang w:val="en-US" w:eastAsia="zh-CN"/>
              </w:rPr>
            </w:pPr>
            <w:r>
              <w:rPr>
                <w:rFonts w:hint="eastAsia"/>
                <w:lang w:val="en-US" w:eastAsia="zh-CN"/>
              </w:rPr>
              <w:t>①有组织：排污单位应加强治理设施巡检，消除设备隐患，保证正常运行。安装吸附装置的应及时更换吸附材料，保证吸附率。采用生物法除臭的应定期添加药剂、控制 pH 值和温度等。</w:t>
            </w:r>
          </w:p>
          <w:p>
            <w:pPr>
              <w:bidi w:val="0"/>
              <w:rPr>
                <w:rFonts w:hint="eastAsia"/>
                <w:lang w:val="en-US" w:eastAsia="zh-CN"/>
              </w:rPr>
            </w:pPr>
            <w:r>
              <w:rPr>
                <w:rFonts w:hint="eastAsia"/>
                <w:lang w:val="en-US" w:eastAsia="zh-CN"/>
              </w:rPr>
              <w:t>②无组织：对压装车间、卸料大厅及转运坪应最大程度降低污染物的无组织散逸量；控制厂内贮存与输送过程中颗粒物、恶臭气体的无组织排放。</w:t>
            </w:r>
          </w:p>
          <w:p>
            <w:pPr>
              <w:bidi w:val="0"/>
              <w:rPr>
                <w:rFonts w:hint="eastAsia"/>
                <w:lang w:val="en-US" w:eastAsia="zh-CN"/>
              </w:rPr>
            </w:pPr>
            <w:r>
              <w:rPr>
                <w:rFonts w:hint="eastAsia"/>
                <w:lang w:val="en-US" w:eastAsia="zh-CN"/>
              </w:rPr>
              <w:t>a）卸料大厅及压装车间应设置通风排气设施，卸料口应设置吸风装置，将气体收集处理后排放。</w:t>
            </w:r>
          </w:p>
          <w:p>
            <w:pPr>
              <w:bidi w:val="0"/>
              <w:rPr>
                <w:rFonts w:hint="eastAsia"/>
                <w:lang w:val="en-US" w:eastAsia="zh-CN"/>
              </w:rPr>
            </w:pPr>
            <w:r>
              <w:rPr>
                <w:rFonts w:hint="eastAsia"/>
                <w:lang w:val="en-US" w:eastAsia="zh-CN"/>
              </w:rPr>
              <w:t>b）渗滤液暂存池宜采取封闭措施。</w:t>
            </w:r>
          </w:p>
          <w:p>
            <w:pPr>
              <w:bidi w:val="0"/>
              <w:rPr>
                <w:rFonts w:hint="eastAsia"/>
                <w:lang w:val="en-US" w:eastAsia="zh-CN"/>
              </w:rPr>
            </w:pPr>
            <w:r>
              <w:rPr>
                <w:rFonts w:hint="eastAsia"/>
                <w:lang w:val="en-US" w:eastAsia="zh-CN"/>
              </w:rPr>
              <w:t>c）卸料大厅，压装车间应定期进行喷洒植物液。</w:t>
            </w:r>
          </w:p>
          <w:p>
            <w:pPr>
              <w:bidi w:val="0"/>
              <w:rPr>
                <w:rFonts w:hint="eastAsia"/>
                <w:lang w:val="en-US" w:eastAsia="zh-CN"/>
              </w:rPr>
            </w:pPr>
            <w:r>
              <w:rPr>
                <w:rFonts w:hint="eastAsia"/>
                <w:lang w:val="en-US" w:eastAsia="zh-CN"/>
              </w:rPr>
              <w:t>d）厂区道路应硬化，并采取洒水、喷雾等降尘措施。</w:t>
            </w:r>
          </w:p>
          <w:p>
            <w:pPr>
              <w:pStyle w:val="8"/>
              <w:ind w:left="0" w:leftChars="0" w:firstLine="0" w:firstLineChars="0"/>
              <w:rPr>
                <w:b/>
                <w:bCs/>
              </w:rPr>
            </w:pPr>
            <w:r>
              <w:rPr>
                <w:rFonts w:hint="eastAsia"/>
                <w:b/>
                <w:bCs/>
                <w:lang w:val="en-US" w:eastAsia="zh-CN"/>
              </w:rPr>
              <w:t>4.2.2</w:t>
            </w:r>
            <w:r>
              <w:rPr>
                <w:rFonts w:hint="eastAsia"/>
                <w:b/>
                <w:bCs/>
              </w:rPr>
              <w:t>水环境影响分析</w:t>
            </w:r>
          </w:p>
          <w:p>
            <w:pPr>
              <w:pStyle w:val="9"/>
              <w:spacing w:before="192" w:after="192"/>
              <w:rPr>
                <w:u w:val="single"/>
                <w:lang w:val="en-US"/>
              </w:rPr>
            </w:pPr>
            <w:r>
              <w:rPr>
                <w:rFonts w:hint="eastAsia"/>
                <w:u w:val="single"/>
                <w:lang w:val="en-US" w:eastAsia="zh-CN"/>
              </w:rPr>
              <w:t>4.2.2.1</w:t>
            </w:r>
            <w:r>
              <w:rPr>
                <w:rFonts w:hint="eastAsia"/>
                <w:u w:val="single"/>
                <w:lang w:val="en-US"/>
              </w:rPr>
              <w:t>废水污染源强分析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highlight w:val="none"/>
                <w:u w:val="single"/>
                <w:lang w:val="en-US" w:eastAsia="zh-CN"/>
              </w:rPr>
              <w:t>项目营运期产生的废水</w:t>
            </w:r>
            <w:r>
              <w:rPr>
                <w:rFonts w:hint="default" w:ascii="Times New Roman" w:hAnsi="Times New Roman" w:eastAsia="宋体" w:cs="Times New Roman"/>
                <w:sz w:val="24"/>
                <w:highlight w:val="none"/>
                <w:u w:val="single"/>
              </w:rPr>
              <w:t>主要为员工生活</w:t>
            </w:r>
            <w:r>
              <w:rPr>
                <w:rFonts w:hint="default" w:ascii="Times New Roman" w:hAnsi="Times New Roman" w:eastAsia="宋体" w:cs="Times New Roman"/>
                <w:sz w:val="24"/>
                <w:highlight w:val="none"/>
                <w:u w:val="single"/>
                <w:lang w:val="en-US" w:eastAsia="zh-CN"/>
              </w:rPr>
              <w:t>废</w:t>
            </w:r>
            <w:r>
              <w:rPr>
                <w:rFonts w:hint="default" w:ascii="Times New Roman" w:hAnsi="Times New Roman" w:eastAsia="宋体" w:cs="Times New Roman"/>
                <w:sz w:val="24"/>
                <w:highlight w:val="none"/>
                <w:u w:val="single"/>
              </w:rPr>
              <w:t>水</w:t>
            </w:r>
            <w:r>
              <w:rPr>
                <w:rFonts w:hint="default" w:ascii="Times New Roman" w:hAnsi="Times New Roman" w:eastAsia="宋体" w:cs="Times New Roman"/>
                <w:sz w:val="24"/>
                <w:highlight w:val="none"/>
                <w:u w:val="single"/>
                <w:lang w:eastAsia="zh-CN"/>
              </w:rPr>
              <w:t>、</w:t>
            </w:r>
            <w:r>
              <w:rPr>
                <w:rFonts w:hint="default" w:ascii="Times New Roman" w:hAnsi="Times New Roman" w:cs="Times New Roman"/>
                <w:sz w:val="24"/>
                <w:highlight w:val="none"/>
                <w:u w:val="single"/>
                <w:lang w:val="en-US" w:eastAsia="zh-CN"/>
              </w:rPr>
              <w:t>车辆、压缩</w:t>
            </w:r>
            <w:r>
              <w:rPr>
                <w:rFonts w:hint="default" w:ascii="Times New Roman" w:hAnsi="Times New Roman" w:eastAsia="宋体" w:cs="Times New Roman"/>
                <w:sz w:val="24"/>
                <w:highlight w:val="none"/>
                <w:u w:val="single"/>
                <w:lang w:val="en-US" w:eastAsia="zh-CN"/>
              </w:rPr>
              <w:t>设备冲洗废水、压缩间地面冲洗废水</w:t>
            </w:r>
            <w:r>
              <w:rPr>
                <w:rFonts w:hint="default" w:ascii="Times New Roman" w:hAnsi="Times New Roman" w:eastAsia="宋体" w:cs="Times New Roman"/>
                <w:sz w:val="24"/>
                <w:highlight w:val="none"/>
                <w:u w:val="single"/>
                <w:lang w:eastAsia="zh-CN"/>
              </w:rPr>
              <w:t>、</w:t>
            </w:r>
            <w:r>
              <w:rPr>
                <w:rFonts w:hint="default" w:ascii="Times New Roman" w:hAnsi="Times New Roman" w:eastAsia="宋体" w:cs="Times New Roman"/>
                <w:sz w:val="24"/>
                <w:highlight w:val="none"/>
                <w:u w:val="single"/>
                <w:lang w:val="en-US" w:eastAsia="zh-CN"/>
              </w:rPr>
              <w:t>生物吸附塔废水以及垃圾渗滤液</w:t>
            </w:r>
            <w:r>
              <w:rPr>
                <w:rFonts w:hint="default" w:ascii="Times New Roman" w:hAnsi="Times New Roman" w:eastAsia="宋体" w:cs="Times New Roman"/>
                <w:sz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sz w:val="24"/>
                <w:szCs w:val="24"/>
                <w:u w:val="single"/>
                <w:lang w:eastAsia="zh-CN"/>
              </w:rPr>
            </w:pPr>
            <w:r>
              <w:rPr>
                <w:rFonts w:hint="default" w:ascii="Times New Roman" w:hAnsi="Times New Roman" w:eastAsia="宋体" w:cs="Times New Roman"/>
                <w:sz w:val="24"/>
                <w:szCs w:val="24"/>
                <w:u w:val="single"/>
              </w:rPr>
              <w:t>①</w:t>
            </w:r>
            <w:r>
              <w:rPr>
                <w:rFonts w:hint="eastAsia" w:cs="Times New Roman"/>
                <w:sz w:val="24"/>
                <w:szCs w:val="24"/>
                <w:u w:val="single"/>
                <w:lang w:eastAsia="zh-CN"/>
              </w:rPr>
              <w:t>生活废水</w:t>
            </w:r>
          </w:p>
          <w:p>
            <w:pPr>
              <w:pStyle w:val="6"/>
              <w:keepNext w:val="0"/>
              <w:keepLines w:val="0"/>
              <w:pageBreakBefore w:val="0"/>
              <w:widowControl w:val="0"/>
              <w:kinsoku/>
              <w:wordWrap w:val="0"/>
              <w:overflowPunct/>
              <w:topLinePunct w:val="0"/>
              <w:autoSpaceDE w:val="0"/>
              <w:autoSpaceDN w:val="0"/>
              <w:bidi w:val="0"/>
              <w:adjustRightInd/>
              <w:snapToGrid/>
              <w:spacing w:line="360" w:lineRule="auto"/>
              <w:ind w:left="0" w:leftChars="0"/>
              <w:jc w:val="both"/>
              <w:textAlignment w:val="auto"/>
              <w:rPr>
                <w:rFonts w:hint="eastAsia"/>
                <w:u w:val="single"/>
                <w:lang w:eastAsia="zh-CN"/>
              </w:rPr>
            </w:pPr>
            <w:r>
              <w:rPr>
                <w:rFonts w:hint="eastAsia"/>
                <w:sz w:val="24"/>
                <w:szCs w:val="24"/>
                <w:u w:val="single"/>
                <w:lang w:eastAsia="zh-CN"/>
              </w:rPr>
              <w:t>根据前文计算，项目</w:t>
            </w:r>
            <w:r>
              <w:rPr>
                <w:rFonts w:hint="eastAsia" w:ascii="Times New Roman" w:hAnsi="Times New Roman"/>
                <w:sz w:val="24"/>
                <w:u w:val="single"/>
              </w:rPr>
              <w:t>生活</w:t>
            </w:r>
            <w:r>
              <w:rPr>
                <w:rFonts w:hint="eastAsia" w:ascii="Times New Roman" w:hAnsi="Times New Roman"/>
                <w:sz w:val="24"/>
                <w:szCs w:val="24"/>
                <w:u w:val="single"/>
              </w:rPr>
              <w:t>生活污水产生量为</w:t>
            </w:r>
            <w:r>
              <w:rPr>
                <w:rFonts w:ascii="Times New Roman" w:hAnsi="Times New Roman"/>
                <w:sz w:val="24"/>
                <w:szCs w:val="24"/>
                <w:u w:val="single"/>
              </w:rPr>
              <w:t>0.38m</w:t>
            </w:r>
            <w:r>
              <w:rPr>
                <w:rFonts w:ascii="Times New Roman" w:hAnsi="Times New Roman"/>
                <w:sz w:val="24"/>
                <w:szCs w:val="24"/>
                <w:u w:val="single"/>
                <w:vertAlign w:val="superscript"/>
              </w:rPr>
              <w:t>3</w:t>
            </w:r>
            <w:r>
              <w:rPr>
                <w:rFonts w:ascii="Times New Roman" w:hAnsi="Times New Roman"/>
                <w:sz w:val="24"/>
                <w:szCs w:val="24"/>
                <w:u w:val="single"/>
              </w:rPr>
              <w:t>/d</w:t>
            </w:r>
            <w:r>
              <w:rPr>
                <w:rFonts w:hint="eastAsia" w:ascii="Times New Roman" w:hAnsi="Times New Roman"/>
                <w:sz w:val="24"/>
                <w:szCs w:val="24"/>
                <w:u w:val="single"/>
              </w:rPr>
              <w:t>（</w:t>
            </w:r>
            <w:r>
              <w:rPr>
                <w:rFonts w:ascii="Times New Roman" w:hAnsi="Times New Roman"/>
                <w:sz w:val="24"/>
                <w:szCs w:val="24"/>
                <w:u w:val="single"/>
              </w:rPr>
              <w:t>138.7m</w:t>
            </w:r>
            <w:r>
              <w:rPr>
                <w:rFonts w:ascii="Times New Roman" w:hAnsi="Times New Roman"/>
                <w:sz w:val="24"/>
                <w:szCs w:val="24"/>
                <w:u w:val="single"/>
                <w:vertAlign w:val="superscript"/>
              </w:rPr>
              <w:t>3</w:t>
            </w:r>
            <w:r>
              <w:rPr>
                <w:rFonts w:ascii="Times New Roman" w:hAnsi="Times New Roman"/>
                <w:sz w:val="24"/>
                <w:szCs w:val="24"/>
                <w:u w:val="single"/>
              </w:rPr>
              <w:t>/a</w:t>
            </w:r>
            <w:r>
              <w:rPr>
                <w:rFonts w:hint="eastAsia" w:ascii="Times New Roman" w:hAnsi="Times New Roman"/>
                <w:sz w:val="24"/>
                <w:szCs w:val="24"/>
                <w:u w:val="single"/>
              </w:rPr>
              <w:t>）</w:t>
            </w:r>
            <w:r>
              <w:rPr>
                <w:rFonts w:hint="eastAsia" w:ascii="Times New Roman" w:hAnsi="Times New Roman"/>
                <w:sz w:val="24"/>
                <w:szCs w:val="24"/>
                <w:u w:val="single"/>
                <w:lang w:eastAsia="zh-CN"/>
              </w:rPr>
              <w:t>，主要污染物为</w:t>
            </w:r>
            <w:r>
              <w:rPr>
                <w:rFonts w:hint="eastAsia" w:ascii="Times New Roman" w:hAnsi="Times New Roman"/>
                <w:sz w:val="24"/>
                <w:szCs w:val="24"/>
                <w:u w:val="single"/>
                <w:lang w:val="en-US" w:eastAsia="zh-CN"/>
              </w:rPr>
              <w:t>COD、BOD</w:t>
            </w:r>
            <w:r>
              <w:rPr>
                <w:rFonts w:hint="eastAsia" w:ascii="Times New Roman" w:hAnsi="Times New Roman"/>
                <w:sz w:val="24"/>
                <w:szCs w:val="24"/>
                <w:u w:val="single"/>
                <w:vertAlign w:val="subscript"/>
                <w:lang w:val="en-US" w:eastAsia="zh-CN"/>
              </w:rPr>
              <w:t>5</w:t>
            </w:r>
            <w:r>
              <w:rPr>
                <w:rFonts w:hint="eastAsia" w:ascii="Times New Roman" w:hAnsi="Times New Roman"/>
                <w:sz w:val="24"/>
                <w:szCs w:val="24"/>
                <w:u w:val="single"/>
                <w:vertAlign w:val="baseline"/>
                <w:lang w:val="en-US" w:eastAsia="zh-CN"/>
              </w:rPr>
              <w:t>、NH</w:t>
            </w:r>
            <w:r>
              <w:rPr>
                <w:rFonts w:hint="eastAsia" w:ascii="Times New Roman" w:hAnsi="Times New Roman"/>
                <w:sz w:val="24"/>
                <w:szCs w:val="24"/>
                <w:u w:val="single"/>
                <w:vertAlign w:val="subscript"/>
                <w:lang w:val="en-US" w:eastAsia="zh-CN"/>
              </w:rPr>
              <w:t>3</w:t>
            </w:r>
            <w:r>
              <w:rPr>
                <w:rFonts w:hint="eastAsia" w:ascii="Times New Roman" w:hAnsi="Times New Roman"/>
                <w:sz w:val="24"/>
                <w:szCs w:val="24"/>
                <w:u w:val="single"/>
                <w:vertAlign w:val="baseline"/>
                <w:lang w:val="en-US" w:eastAsia="zh-CN"/>
              </w:rPr>
              <w:t>-N、SS，生活废水经化粪池处理后清掏外运作农肥</w:t>
            </w:r>
            <w:r>
              <w:rPr>
                <w:rFonts w:hint="eastAsia" w:ascii="Times New Roman" w:hAnsi="Times New Roman"/>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u w:val="single"/>
              </w:rPr>
            </w:pPr>
            <w:r>
              <w:rPr>
                <w:rFonts w:hint="eastAsia" w:cs="Times New Roman"/>
                <w:sz w:val="24"/>
                <w:szCs w:val="24"/>
                <w:u w:val="single"/>
                <w:lang w:val="en-US" w:eastAsia="zh-CN"/>
              </w:rPr>
              <w:t>②</w:t>
            </w:r>
            <w:r>
              <w:rPr>
                <w:rFonts w:hint="default" w:ascii="Times New Roman" w:hAnsi="Times New Roman" w:cs="Times New Roman"/>
                <w:sz w:val="24"/>
                <w:szCs w:val="24"/>
                <w:u w:val="single"/>
                <w:lang w:val="en-US" w:eastAsia="zh-CN"/>
              </w:rPr>
              <w:t>车辆、</w:t>
            </w:r>
            <w:r>
              <w:rPr>
                <w:rFonts w:hint="default" w:ascii="Times New Roman" w:hAnsi="Times New Roman" w:eastAsia="宋体" w:cs="Times New Roman"/>
                <w:sz w:val="24"/>
                <w:szCs w:val="24"/>
                <w:u w:val="single"/>
              </w:rPr>
              <w:t>压缩设备</w:t>
            </w:r>
            <w:r>
              <w:rPr>
                <w:rFonts w:hint="eastAsia" w:cs="Times New Roman"/>
                <w:sz w:val="24"/>
                <w:szCs w:val="24"/>
                <w:u w:val="single"/>
                <w:lang w:eastAsia="zh-CN"/>
              </w:rPr>
              <w:t>及转运车间地面</w:t>
            </w:r>
            <w:r>
              <w:rPr>
                <w:rFonts w:hint="default" w:ascii="Times New Roman" w:hAnsi="Times New Roman" w:eastAsia="宋体" w:cs="Times New Roman"/>
                <w:sz w:val="24"/>
                <w:szCs w:val="24"/>
                <w:u w:val="single"/>
              </w:rPr>
              <w:t>冲洗废水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sz w:val="24"/>
                <w:u w:val="single"/>
                <w:lang w:eastAsia="zh-CN"/>
              </w:rPr>
            </w:pPr>
            <w:r>
              <w:rPr>
                <w:rFonts w:hint="eastAsia"/>
                <w:sz w:val="24"/>
                <w:szCs w:val="24"/>
                <w:u w:val="single"/>
                <w:lang w:eastAsia="zh-CN"/>
              </w:rPr>
              <w:t>根据前文计算，</w:t>
            </w:r>
            <w:r>
              <w:rPr>
                <w:rFonts w:hint="eastAsia" w:ascii="Times New Roman" w:hAnsi="Times New Roman"/>
                <w:sz w:val="24"/>
                <w:szCs w:val="24"/>
                <w:u w:val="single"/>
              </w:rPr>
              <w:t>设备</w:t>
            </w:r>
            <w:r>
              <w:rPr>
                <w:rFonts w:hint="eastAsia" w:ascii="Times New Roman" w:hAnsi="Times New Roman"/>
                <w:sz w:val="24"/>
                <w:u w:val="single"/>
              </w:rPr>
              <w:t>废水产生量为</w:t>
            </w:r>
            <w:r>
              <w:rPr>
                <w:rFonts w:hint="eastAsia"/>
                <w:sz w:val="24"/>
                <w:u w:val="single"/>
                <w:lang w:val="en-US" w:eastAsia="zh-CN"/>
              </w:rPr>
              <w:t>0.85</w:t>
            </w:r>
            <w:r>
              <w:rPr>
                <w:rFonts w:ascii="Times New Roman" w:hAnsi="Times New Roman"/>
                <w:sz w:val="24"/>
                <w:u w:val="single"/>
              </w:rPr>
              <w:t>m</w:t>
            </w:r>
            <w:r>
              <w:rPr>
                <w:rFonts w:ascii="Times New Roman" w:hAnsi="Times New Roman"/>
                <w:sz w:val="24"/>
                <w:u w:val="single"/>
                <w:vertAlign w:val="superscript"/>
              </w:rPr>
              <w:t>3</w:t>
            </w:r>
            <w:r>
              <w:rPr>
                <w:rFonts w:ascii="Times New Roman" w:hAnsi="Times New Roman"/>
                <w:sz w:val="24"/>
                <w:u w:val="single"/>
              </w:rPr>
              <w:t>/d</w:t>
            </w:r>
            <w:r>
              <w:rPr>
                <w:rFonts w:hint="eastAsia" w:ascii="Times New Roman" w:hAnsi="Times New Roman"/>
                <w:sz w:val="24"/>
                <w:u w:val="single"/>
              </w:rPr>
              <w:t>（</w:t>
            </w:r>
            <w:r>
              <w:rPr>
                <w:rFonts w:hint="eastAsia"/>
                <w:sz w:val="24"/>
                <w:u w:val="single"/>
                <w:lang w:val="en-US" w:eastAsia="zh-CN"/>
              </w:rPr>
              <w:t>310.25</w:t>
            </w:r>
            <w:r>
              <w:rPr>
                <w:rFonts w:ascii="Times New Roman" w:hAnsi="Times New Roman"/>
                <w:sz w:val="24"/>
                <w:u w:val="single"/>
              </w:rPr>
              <w:t>m</w:t>
            </w:r>
            <w:r>
              <w:rPr>
                <w:rFonts w:ascii="Times New Roman" w:hAnsi="Times New Roman"/>
                <w:sz w:val="24"/>
                <w:u w:val="single"/>
                <w:vertAlign w:val="superscript"/>
              </w:rPr>
              <w:t>3</w:t>
            </w:r>
            <w:r>
              <w:rPr>
                <w:rFonts w:ascii="Times New Roman" w:hAnsi="Times New Roman"/>
                <w:sz w:val="24"/>
                <w:u w:val="single"/>
              </w:rPr>
              <w:t>/a</w:t>
            </w:r>
            <w:r>
              <w:rPr>
                <w:rFonts w:hint="eastAsia" w:ascii="Times New Roman" w:hAnsi="Times New Roman"/>
                <w:sz w:val="24"/>
                <w:u w:val="single"/>
              </w:rPr>
              <w:t>）</w:t>
            </w:r>
            <w:r>
              <w:rPr>
                <w:rFonts w:hint="eastAsia" w:ascii="Times New Roman" w:hAnsi="Times New Roman"/>
                <w:sz w:val="24"/>
                <w:u w:val="single"/>
                <w:lang w:eastAsia="zh-CN"/>
              </w:rPr>
              <w:t>；</w:t>
            </w:r>
            <w:r>
              <w:rPr>
                <w:rFonts w:hint="eastAsia" w:ascii="Times New Roman" w:hAnsi="Times New Roman"/>
                <w:sz w:val="24"/>
                <w:szCs w:val="24"/>
                <w:u w:val="single"/>
              </w:rPr>
              <w:t>车辆</w:t>
            </w:r>
            <w:r>
              <w:rPr>
                <w:rFonts w:hint="eastAsia"/>
                <w:sz w:val="24"/>
                <w:u w:val="single"/>
                <w:lang w:eastAsia="zh-CN"/>
              </w:rPr>
              <w:t>冲洗废水产生量为</w:t>
            </w:r>
            <w:r>
              <w:rPr>
                <w:rFonts w:ascii="Times New Roman" w:hAnsi="Times New Roman"/>
                <w:sz w:val="24"/>
                <w:u w:val="single"/>
              </w:rPr>
              <w:t>0.0765m</w:t>
            </w:r>
            <w:r>
              <w:rPr>
                <w:rFonts w:ascii="Times New Roman" w:hAnsi="Times New Roman"/>
                <w:sz w:val="24"/>
                <w:u w:val="single"/>
                <w:vertAlign w:val="superscript"/>
              </w:rPr>
              <w:t>3</w:t>
            </w:r>
            <w:r>
              <w:rPr>
                <w:rFonts w:ascii="Times New Roman" w:hAnsi="Times New Roman"/>
                <w:sz w:val="24"/>
                <w:u w:val="single"/>
              </w:rPr>
              <w:t>/d</w:t>
            </w:r>
            <w:r>
              <w:rPr>
                <w:rFonts w:hint="eastAsia" w:ascii="Times New Roman" w:hAnsi="Times New Roman"/>
                <w:sz w:val="24"/>
                <w:u w:val="single"/>
              </w:rPr>
              <w:t>（</w:t>
            </w:r>
            <w:r>
              <w:rPr>
                <w:rFonts w:ascii="Times New Roman" w:hAnsi="Times New Roman"/>
                <w:sz w:val="24"/>
                <w:u w:val="single"/>
              </w:rPr>
              <w:t>27.9</w:t>
            </w:r>
            <w:r>
              <w:rPr>
                <w:rFonts w:hint="eastAsia"/>
                <w:sz w:val="24"/>
                <w:u w:val="single"/>
                <w:lang w:val="en-US" w:eastAsia="zh-CN"/>
              </w:rPr>
              <w:t>2</w:t>
            </w:r>
            <w:r>
              <w:rPr>
                <w:rFonts w:ascii="Times New Roman" w:hAnsi="Times New Roman"/>
                <w:sz w:val="24"/>
                <w:u w:val="single"/>
              </w:rPr>
              <w:t>m</w:t>
            </w:r>
            <w:r>
              <w:rPr>
                <w:rFonts w:ascii="Times New Roman" w:hAnsi="Times New Roman"/>
                <w:sz w:val="24"/>
                <w:u w:val="single"/>
                <w:vertAlign w:val="superscript"/>
              </w:rPr>
              <w:t>3</w:t>
            </w:r>
            <w:r>
              <w:rPr>
                <w:rFonts w:ascii="Times New Roman" w:hAnsi="Times New Roman"/>
                <w:sz w:val="24"/>
                <w:u w:val="single"/>
              </w:rPr>
              <w:t>/a</w:t>
            </w:r>
            <w:r>
              <w:rPr>
                <w:rFonts w:hint="eastAsia" w:ascii="Times New Roman" w:hAnsi="Times New Roman"/>
                <w:sz w:val="24"/>
                <w:u w:val="single"/>
              </w:rPr>
              <w:t>）</w:t>
            </w:r>
            <w:r>
              <w:rPr>
                <w:rFonts w:hint="eastAsia" w:ascii="Times New Roman" w:hAnsi="Times New Roman"/>
                <w:sz w:val="24"/>
                <w:u w:val="single"/>
                <w:lang w:eastAsia="zh-CN"/>
              </w:rPr>
              <w:t>；</w:t>
            </w:r>
            <w:r>
              <w:rPr>
                <w:rFonts w:hint="eastAsia"/>
                <w:sz w:val="24"/>
                <w:u w:val="single"/>
                <w:lang w:eastAsia="zh-CN"/>
              </w:rPr>
              <w:t>转运车间地面冲洗废水</w:t>
            </w:r>
            <w:r>
              <w:rPr>
                <w:rFonts w:hint="eastAsia" w:ascii="Times New Roman" w:hAnsi="Times New Roman"/>
                <w:sz w:val="24"/>
                <w:u w:val="single"/>
              </w:rPr>
              <w:t>产生量为</w:t>
            </w:r>
            <w:r>
              <w:rPr>
                <w:rFonts w:hint="eastAsia"/>
                <w:sz w:val="24"/>
                <w:u w:val="single"/>
                <w:lang w:val="en-US" w:eastAsia="zh-CN"/>
              </w:rPr>
              <w:t>2.49</w:t>
            </w:r>
            <w:r>
              <w:rPr>
                <w:rFonts w:ascii="Times New Roman" w:hAnsi="Times New Roman"/>
                <w:sz w:val="24"/>
                <w:u w:val="single"/>
              </w:rPr>
              <w:t>m</w:t>
            </w:r>
            <w:r>
              <w:rPr>
                <w:rFonts w:ascii="Times New Roman" w:hAnsi="Times New Roman"/>
                <w:sz w:val="24"/>
                <w:u w:val="single"/>
                <w:vertAlign w:val="superscript"/>
              </w:rPr>
              <w:t>3</w:t>
            </w:r>
            <w:r>
              <w:rPr>
                <w:rFonts w:ascii="Times New Roman" w:hAnsi="Times New Roman"/>
                <w:sz w:val="24"/>
                <w:u w:val="single"/>
              </w:rPr>
              <w:t>/</w:t>
            </w:r>
            <w:r>
              <w:rPr>
                <w:rFonts w:hint="eastAsia" w:ascii="Times New Roman" w:hAnsi="Times New Roman"/>
                <w:sz w:val="24"/>
                <w:u w:val="single"/>
              </w:rPr>
              <w:t>次（</w:t>
            </w:r>
            <w:r>
              <w:rPr>
                <w:rFonts w:hint="eastAsia"/>
                <w:sz w:val="24"/>
                <w:u w:val="single"/>
                <w:lang w:val="en-US" w:eastAsia="zh-CN"/>
              </w:rPr>
              <w:t>119.54</w:t>
            </w:r>
            <w:r>
              <w:rPr>
                <w:rFonts w:ascii="Times New Roman" w:hAnsi="Times New Roman"/>
                <w:sz w:val="24"/>
                <w:u w:val="single"/>
              </w:rPr>
              <w:t>m</w:t>
            </w:r>
            <w:r>
              <w:rPr>
                <w:rFonts w:ascii="Times New Roman" w:hAnsi="Times New Roman"/>
                <w:sz w:val="24"/>
                <w:u w:val="single"/>
                <w:vertAlign w:val="superscript"/>
              </w:rPr>
              <w:t>3</w:t>
            </w:r>
            <w:r>
              <w:rPr>
                <w:rFonts w:ascii="Times New Roman" w:hAnsi="Times New Roman"/>
                <w:sz w:val="24"/>
                <w:u w:val="single"/>
              </w:rPr>
              <w:t>/a</w:t>
            </w:r>
            <w:r>
              <w:rPr>
                <w:rFonts w:hint="eastAsia" w:ascii="Times New Roman" w:hAnsi="Times New Roman"/>
                <w:sz w:val="24"/>
                <w:u w:val="single"/>
              </w:rPr>
              <w:t>）</w:t>
            </w:r>
            <w:r>
              <w:rPr>
                <w:rFonts w:hint="eastAsia" w:ascii="Times New Roman" w:hAnsi="Times New Roman"/>
                <w:sz w:val="24"/>
                <w:u w:val="single"/>
                <w:lang w:eastAsia="zh-CN"/>
              </w:rPr>
              <w:t>，故高峰垃圾转运站</w:t>
            </w:r>
            <w:r>
              <w:rPr>
                <w:rFonts w:hint="eastAsia" w:ascii="Times New Roman" w:hAnsi="Times New Roman"/>
                <w:sz w:val="24"/>
                <w:szCs w:val="24"/>
                <w:u w:val="single"/>
              </w:rPr>
              <w:t>冲洗废水</w:t>
            </w:r>
            <w:r>
              <w:rPr>
                <w:rFonts w:hint="eastAsia" w:ascii="Times New Roman" w:hAnsi="Times New Roman"/>
                <w:sz w:val="24"/>
                <w:szCs w:val="24"/>
                <w:u w:val="single"/>
                <w:lang w:eastAsia="zh-CN"/>
              </w:rPr>
              <w:t>日最大排放量为</w:t>
            </w:r>
            <w:r>
              <w:rPr>
                <w:rFonts w:hint="eastAsia" w:ascii="Times New Roman" w:hAnsi="Times New Roman"/>
                <w:sz w:val="24"/>
                <w:szCs w:val="24"/>
                <w:u w:val="single"/>
                <w:lang w:val="en-US" w:eastAsia="zh-CN"/>
              </w:rPr>
              <w:t>6.2t/d，年排放量为609.37t/a。冲洗废水</w:t>
            </w:r>
            <w:r>
              <w:rPr>
                <w:rFonts w:hint="eastAsia" w:ascii="Times New Roman" w:hAnsi="Times New Roman"/>
                <w:sz w:val="24"/>
                <w:szCs w:val="24"/>
                <w:u w:val="single"/>
              </w:rPr>
              <w:t>中主要污染物为粘附的纸屑、塑料颗粒、灰尘、沙士等物质，有机污染物浓度低、无机污染物含量较高。参考国内同类型垃圾转运站项目可知，项目冲洗废水产生浓度为：</w:t>
            </w:r>
            <w:r>
              <w:rPr>
                <w:rFonts w:ascii="Times New Roman" w:hAnsi="Times New Roman"/>
                <w:sz w:val="24"/>
                <w:u w:val="single"/>
              </w:rPr>
              <w:t>COD</w:t>
            </w:r>
            <w:r>
              <w:rPr>
                <w:rFonts w:ascii="Times New Roman" w:hAnsi="Times New Roman"/>
                <w:sz w:val="24"/>
                <w:u w:val="single"/>
                <w:vertAlign w:val="subscript"/>
              </w:rPr>
              <w:t>cr</w:t>
            </w:r>
            <w:r>
              <w:rPr>
                <w:rFonts w:ascii="Times New Roman" w:hAnsi="Times New Roman"/>
                <w:sz w:val="24"/>
                <w:u w:val="single"/>
              </w:rPr>
              <w:t>450mg/L</w:t>
            </w:r>
            <w:r>
              <w:rPr>
                <w:rFonts w:hint="eastAsia" w:ascii="Times New Roman" w:hAnsi="Times New Roman"/>
                <w:sz w:val="24"/>
                <w:u w:val="single"/>
              </w:rPr>
              <w:t>，</w:t>
            </w:r>
            <w:r>
              <w:rPr>
                <w:rFonts w:ascii="Times New Roman" w:hAnsi="Times New Roman"/>
                <w:sz w:val="24"/>
                <w:u w:val="single"/>
              </w:rPr>
              <w:t>BOD</w:t>
            </w:r>
            <w:r>
              <w:rPr>
                <w:rFonts w:ascii="Times New Roman" w:hAnsi="Times New Roman"/>
                <w:sz w:val="24"/>
                <w:u w:val="single"/>
                <w:vertAlign w:val="subscript"/>
              </w:rPr>
              <w:t>5</w:t>
            </w:r>
            <w:r>
              <w:rPr>
                <w:rFonts w:ascii="Times New Roman" w:hAnsi="Times New Roman"/>
                <w:sz w:val="24"/>
                <w:u w:val="single"/>
              </w:rPr>
              <w:t>220mg/L</w:t>
            </w:r>
            <w:r>
              <w:rPr>
                <w:rFonts w:hint="eastAsia" w:ascii="Times New Roman" w:hAnsi="Times New Roman"/>
                <w:sz w:val="24"/>
                <w:u w:val="single"/>
              </w:rPr>
              <w:t>，</w:t>
            </w:r>
            <w:r>
              <w:rPr>
                <w:rFonts w:ascii="Times New Roman" w:hAnsi="Times New Roman"/>
                <w:sz w:val="24"/>
                <w:u w:val="single"/>
              </w:rPr>
              <w:t>SS350mg/L</w:t>
            </w:r>
            <w:r>
              <w:rPr>
                <w:rFonts w:hint="eastAsia" w:ascii="Times New Roman" w:hAnsi="Times New Roman"/>
                <w:sz w:val="24"/>
                <w:u w:val="single"/>
              </w:rPr>
              <w:t>，氨氮</w:t>
            </w:r>
            <w:r>
              <w:rPr>
                <w:rFonts w:ascii="Times New Roman" w:hAnsi="Times New Roman"/>
                <w:sz w:val="24"/>
                <w:u w:val="single"/>
              </w:rPr>
              <w:t>50mg/L</w:t>
            </w:r>
            <w:r>
              <w:rPr>
                <w:rFonts w:hint="eastAsia" w:ascii="Times New Roman" w:hAnsi="Times New Roman"/>
                <w:sz w:val="24"/>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Style w:val="59"/>
                <w:rFonts w:hint="eastAsia" w:cs="Times New Roman"/>
                <w:color w:val="auto"/>
                <w:u w:val="single"/>
                <w:lang w:val="en-US" w:eastAsia="zh-CN"/>
              </w:rPr>
            </w:pPr>
            <w:r>
              <w:rPr>
                <w:rFonts w:hint="default" w:ascii="Times New Roman" w:hAnsi="Times New Roman" w:eastAsia="宋体" w:cs="Times New Roman"/>
                <w:sz w:val="24"/>
                <w:szCs w:val="24"/>
                <w:u w:val="single"/>
              </w:rPr>
              <w:t>冲洗废水</w:t>
            </w:r>
            <w:r>
              <w:rPr>
                <w:rStyle w:val="59"/>
                <w:rFonts w:hint="default" w:ascii="Times New Roman" w:hAnsi="Times New Roman" w:eastAsia="宋体" w:cs="Times New Roman"/>
                <w:color w:val="auto"/>
                <w:u w:val="single"/>
                <w:lang w:val="en-US" w:eastAsia="zh-CN"/>
              </w:rPr>
              <w:t>经周边水槽汇集</w:t>
            </w:r>
            <w:r>
              <w:rPr>
                <w:rStyle w:val="59"/>
                <w:rFonts w:hint="eastAsia" w:cs="Times New Roman"/>
                <w:color w:val="auto"/>
                <w:u w:val="single"/>
                <w:lang w:val="en-US" w:eastAsia="zh-CN"/>
              </w:rPr>
              <w:t>，</w:t>
            </w:r>
            <w:r>
              <w:rPr>
                <w:rStyle w:val="59"/>
                <w:rFonts w:hint="default" w:ascii="Times New Roman" w:hAnsi="Times New Roman" w:eastAsia="宋体" w:cs="Times New Roman"/>
                <w:color w:val="auto"/>
                <w:u w:val="single"/>
                <w:lang w:val="en-US" w:eastAsia="zh-CN"/>
              </w:rPr>
              <w:t>坡向水槽再通过管道进入到密闭的渗滤液收集池中，</w:t>
            </w:r>
            <w:r>
              <w:rPr>
                <w:rStyle w:val="59"/>
                <w:rFonts w:hint="eastAsia" w:cs="Times New Roman"/>
                <w:color w:val="auto"/>
                <w:u w:val="single"/>
                <w:lang w:val="en-US" w:eastAsia="zh-CN"/>
              </w:rPr>
              <w:t>与垃圾压缩产生的渗滤液一起由管道输送至凤凰县垃圾填埋场渗滤液处理系统处理。</w:t>
            </w:r>
          </w:p>
          <w:p>
            <w:pPr>
              <w:pStyle w:val="43"/>
              <w:bidi w:val="0"/>
              <w:rPr>
                <w:u w:val="single"/>
              </w:rPr>
            </w:pPr>
            <w:r>
              <w:rPr>
                <w:rFonts w:hint="eastAsia"/>
                <w:u w:val="single"/>
              </w:rPr>
              <w:t>表</w:t>
            </w:r>
            <w:r>
              <w:rPr>
                <w:rFonts w:hint="eastAsia"/>
                <w:u w:val="single"/>
                <w:lang w:val="en-US" w:eastAsia="zh-CN"/>
              </w:rPr>
              <w:t>4.2-11</w:t>
            </w:r>
            <w:r>
              <w:rPr>
                <w:u w:val="single"/>
              </w:rPr>
              <w:t xml:space="preserve">  </w:t>
            </w:r>
            <w:r>
              <w:rPr>
                <w:rFonts w:hint="eastAsia"/>
                <w:u w:val="single"/>
              </w:rPr>
              <w:t>项目冲洗废水污染物一览表</w:t>
            </w:r>
          </w:p>
          <w:tbl>
            <w:tblPr>
              <w:tblStyle w:val="31"/>
              <w:tblW w:w="829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1050"/>
              <w:gridCol w:w="1320"/>
              <w:gridCol w:w="1350"/>
              <w:gridCol w:w="855"/>
              <w:gridCol w:w="818"/>
              <w:gridCol w:w="781"/>
              <w:gridCol w:w="7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434" w:type="pct"/>
                  <w:gridSpan w:val="2"/>
                  <w:tcBorders>
                    <w:top w:val="single" w:color="auto" w:sz="4" w:space="0"/>
                    <w:left w:val="single" w:color="auto" w:sz="4" w:space="0"/>
                    <w:bottom w:val="single" w:color="auto" w:sz="4" w:space="0"/>
                    <w:right w:val="single" w:color="auto" w:sz="4" w:space="0"/>
                    <w:tl2br w:val="single" w:color="auto" w:sz="4" w:space="0"/>
                  </w:tcBorders>
                  <w:noWrap w:val="0"/>
                  <w:vAlign w:val="center"/>
                </w:tcPr>
                <w:p>
                  <w:pPr>
                    <w:pStyle w:val="38"/>
                    <w:bidi w:val="0"/>
                    <w:rPr>
                      <w:u w:val="single"/>
                    </w:rPr>
                  </w:pPr>
                  <w:r>
                    <w:rPr>
                      <w:u w:val="single"/>
                    </w:rPr>
                    <w:t xml:space="preserve"> </w:t>
                  </w:r>
                  <w:r>
                    <w:rPr>
                      <w:rFonts w:hint="eastAsia"/>
                      <w:u w:val="single"/>
                    </w:rPr>
                    <w:t>污染种类</w:t>
                  </w:r>
                </w:p>
                <w:p>
                  <w:pPr>
                    <w:pStyle w:val="38"/>
                    <w:bidi w:val="0"/>
                    <w:rPr>
                      <w:u w:val="single"/>
                    </w:rPr>
                  </w:pPr>
                </w:p>
                <w:p>
                  <w:pPr>
                    <w:pStyle w:val="38"/>
                    <w:bidi w:val="0"/>
                    <w:rPr>
                      <w:u w:val="single"/>
                    </w:rPr>
                  </w:pPr>
                  <w:r>
                    <w:rPr>
                      <w:rFonts w:hint="eastAsia"/>
                      <w:u w:val="single"/>
                    </w:rPr>
                    <w:t>项目</w:t>
                  </w:r>
                </w:p>
              </w:tc>
              <w:tc>
                <w:tcPr>
                  <w:tcW w:w="795" w:type="pct"/>
                  <w:tcBorders>
                    <w:top w:val="single" w:color="auto" w:sz="4" w:space="0"/>
                    <w:left w:val="single" w:color="auto" w:sz="4" w:space="0"/>
                    <w:bottom w:val="single" w:color="auto" w:sz="4" w:space="0"/>
                    <w:right w:val="single" w:color="auto" w:sz="4" w:space="0"/>
                  </w:tcBorders>
                  <w:noWrap w:val="0"/>
                  <w:vAlign w:val="center"/>
                </w:tcPr>
                <w:p>
                  <w:pPr>
                    <w:pStyle w:val="38"/>
                    <w:bidi w:val="0"/>
                    <w:rPr>
                      <w:rFonts w:hint="eastAsia" w:eastAsia="宋体"/>
                      <w:u w:val="single"/>
                      <w:lang w:eastAsia="zh-CN"/>
                    </w:rPr>
                  </w:pPr>
                  <w:r>
                    <w:rPr>
                      <w:rFonts w:hint="eastAsia"/>
                      <w:u w:val="single"/>
                      <w:lang w:eastAsia="zh-CN"/>
                    </w:rPr>
                    <w:t>产生量</w:t>
                  </w:r>
                  <w:r>
                    <w:rPr>
                      <w:rFonts w:hint="eastAsia"/>
                      <w:u w:val="single"/>
                    </w:rPr>
                    <w:t>（</w:t>
                  </w:r>
                  <w:r>
                    <w:rPr>
                      <w:u w:val="single"/>
                    </w:rPr>
                    <w:t>t/</w:t>
                  </w:r>
                  <w:r>
                    <w:rPr>
                      <w:rFonts w:hint="eastAsia"/>
                      <w:u w:val="single"/>
                      <w:lang w:val="en-US" w:eastAsia="zh-CN"/>
                    </w:rPr>
                    <w:t>d</w:t>
                  </w:r>
                  <w:r>
                    <w:rPr>
                      <w:rFonts w:hint="eastAsia"/>
                      <w:u w:val="single"/>
                    </w:rPr>
                    <w:t>）</w:t>
                  </w:r>
                </w:p>
              </w:tc>
              <w:tc>
                <w:tcPr>
                  <w:tcW w:w="813" w:type="pct"/>
                  <w:tcBorders>
                    <w:top w:val="single" w:color="auto" w:sz="4" w:space="0"/>
                    <w:left w:val="single" w:color="auto" w:sz="4" w:space="0"/>
                    <w:bottom w:val="single" w:color="auto" w:sz="4" w:space="0"/>
                    <w:right w:val="single" w:color="auto" w:sz="4" w:space="0"/>
                  </w:tcBorders>
                  <w:noWrap w:val="0"/>
                  <w:vAlign w:val="center"/>
                </w:tcPr>
                <w:p>
                  <w:pPr>
                    <w:pStyle w:val="38"/>
                    <w:bidi w:val="0"/>
                    <w:rPr>
                      <w:u w:val="single"/>
                    </w:rPr>
                  </w:pPr>
                  <w:r>
                    <w:rPr>
                      <w:rFonts w:hint="eastAsia"/>
                      <w:u w:val="single"/>
                      <w:lang w:eastAsia="zh-CN"/>
                    </w:rPr>
                    <w:t>产生</w:t>
                  </w:r>
                  <w:r>
                    <w:rPr>
                      <w:rFonts w:hint="eastAsia"/>
                      <w:u w:val="single"/>
                    </w:rPr>
                    <w:t>量（</w:t>
                  </w:r>
                  <w:r>
                    <w:rPr>
                      <w:u w:val="single"/>
                    </w:rPr>
                    <w:t>t/a</w:t>
                  </w:r>
                  <w:r>
                    <w:rPr>
                      <w:rFonts w:hint="eastAsia"/>
                      <w:u w:val="single"/>
                    </w:rPr>
                    <w:t>）</w:t>
                  </w:r>
                </w:p>
              </w:tc>
              <w:tc>
                <w:tcPr>
                  <w:tcW w:w="515" w:type="pct"/>
                  <w:tcBorders>
                    <w:top w:val="single" w:color="auto" w:sz="4" w:space="0"/>
                    <w:left w:val="single" w:color="auto" w:sz="4" w:space="0"/>
                    <w:bottom w:val="single" w:color="auto" w:sz="4" w:space="0"/>
                    <w:right w:val="single" w:color="auto" w:sz="4" w:space="0"/>
                  </w:tcBorders>
                  <w:noWrap w:val="0"/>
                  <w:vAlign w:val="center"/>
                </w:tcPr>
                <w:p>
                  <w:pPr>
                    <w:pStyle w:val="38"/>
                    <w:bidi w:val="0"/>
                    <w:rPr>
                      <w:u w:val="single"/>
                    </w:rPr>
                  </w:pPr>
                  <w:r>
                    <w:rPr>
                      <w:u w:val="single"/>
                    </w:rPr>
                    <w:t>COD</w:t>
                  </w:r>
                </w:p>
              </w:tc>
              <w:tc>
                <w:tcPr>
                  <w:tcW w:w="492" w:type="pct"/>
                  <w:tcBorders>
                    <w:top w:val="single" w:color="auto" w:sz="4" w:space="0"/>
                    <w:left w:val="single" w:color="auto" w:sz="4" w:space="0"/>
                    <w:bottom w:val="single" w:color="auto" w:sz="4" w:space="0"/>
                    <w:right w:val="single" w:color="auto" w:sz="4" w:space="0"/>
                  </w:tcBorders>
                  <w:noWrap w:val="0"/>
                  <w:vAlign w:val="center"/>
                </w:tcPr>
                <w:p>
                  <w:pPr>
                    <w:pStyle w:val="38"/>
                    <w:bidi w:val="0"/>
                    <w:rPr>
                      <w:u w:val="single"/>
                    </w:rPr>
                  </w:pPr>
                  <w:r>
                    <w:rPr>
                      <w:u w:val="single"/>
                    </w:rPr>
                    <w:t>BOD5</w:t>
                  </w:r>
                </w:p>
              </w:tc>
              <w:tc>
                <w:tcPr>
                  <w:tcW w:w="470" w:type="pct"/>
                  <w:tcBorders>
                    <w:top w:val="single" w:color="auto" w:sz="4" w:space="0"/>
                    <w:left w:val="single" w:color="auto" w:sz="4" w:space="0"/>
                    <w:bottom w:val="single" w:color="auto" w:sz="4" w:space="0"/>
                    <w:right w:val="single" w:color="auto" w:sz="4" w:space="0"/>
                  </w:tcBorders>
                  <w:noWrap w:val="0"/>
                  <w:vAlign w:val="center"/>
                </w:tcPr>
                <w:p>
                  <w:pPr>
                    <w:pStyle w:val="38"/>
                    <w:bidi w:val="0"/>
                    <w:rPr>
                      <w:u w:val="single"/>
                    </w:rPr>
                  </w:pPr>
                  <w:r>
                    <w:rPr>
                      <w:u w:val="single"/>
                    </w:rPr>
                    <w:t>SS</w:t>
                  </w:r>
                </w:p>
              </w:tc>
              <w:tc>
                <w:tcPr>
                  <w:tcW w:w="477" w:type="pct"/>
                  <w:tcBorders>
                    <w:top w:val="single" w:color="auto" w:sz="4" w:space="0"/>
                    <w:left w:val="single" w:color="auto" w:sz="4" w:space="0"/>
                    <w:bottom w:val="single" w:color="auto" w:sz="4" w:space="0"/>
                    <w:right w:val="single" w:color="auto" w:sz="4" w:space="0"/>
                  </w:tcBorders>
                  <w:noWrap w:val="0"/>
                  <w:vAlign w:val="center"/>
                </w:tcPr>
                <w:p>
                  <w:pPr>
                    <w:pStyle w:val="38"/>
                    <w:bidi w:val="0"/>
                    <w:rPr>
                      <w:u w:val="single"/>
                    </w:rPr>
                  </w:pPr>
                  <w:r>
                    <w:rPr>
                      <w:rFonts w:hint="eastAsia"/>
                      <w:u w:val="single"/>
                    </w:rPr>
                    <w:t>氨氮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802" w:type="pct"/>
                  <w:vMerge w:val="restart"/>
                  <w:tcBorders>
                    <w:top w:val="single" w:color="auto" w:sz="4" w:space="0"/>
                    <w:left w:val="single" w:color="auto" w:sz="4" w:space="0"/>
                    <w:right w:val="single" w:color="auto" w:sz="4" w:space="0"/>
                  </w:tcBorders>
                  <w:noWrap w:val="0"/>
                  <w:vAlign w:val="center"/>
                </w:tcPr>
                <w:p>
                  <w:pPr>
                    <w:pStyle w:val="38"/>
                    <w:bidi w:val="0"/>
                    <w:rPr>
                      <w:u w:val="single"/>
                    </w:rPr>
                  </w:pPr>
                  <w:r>
                    <w:rPr>
                      <w:rFonts w:hint="eastAsia"/>
                      <w:u w:val="single"/>
                    </w:rPr>
                    <w:t>压缩设备、车辆冲洗、地面冲洗废水</w:t>
                  </w:r>
                </w:p>
              </w:tc>
              <w:tc>
                <w:tcPr>
                  <w:tcW w:w="632" w:type="pct"/>
                  <w:tcBorders>
                    <w:top w:val="single" w:color="auto" w:sz="4" w:space="0"/>
                    <w:left w:val="single" w:color="auto" w:sz="4" w:space="0"/>
                    <w:bottom w:val="single" w:color="auto" w:sz="4" w:space="0"/>
                    <w:right w:val="single" w:color="auto" w:sz="4" w:space="0"/>
                  </w:tcBorders>
                  <w:noWrap w:val="0"/>
                  <w:vAlign w:val="center"/>
                </w:tcPr>
                <w:p>
                  <w:pPr>
                    <w:pStyle w:val="38"/>
                    <w:bidi w:val="0"/>
                    <w:rPr>
                      <w:u w:val="single"/>
                    </w:rPr>
                  </w:pPr>
                  <w:r>
                    <w:rPr>
                      <w:rFonts w:hint="eastAsia"/>
                      <w:u w:val="single"/>
                    </w:rPr>
                    <w:t>产生浓度</w:t>
                  </w:r>
                  <w:r>
                    <w:rPr>
                      <w:u w:val="single"/>
                    </w:rPr>
                    <w:t>mg/L</w:t>
                  </w:r>
                </w:p>
              </w:tc>
              <w:tc>
                <w:tcPr>
                  <w:tcW w:w="795" w:type="pct"/>
                  <w:tcBorders>
                    <w:top w:val="single" w:color="auto" w:sz="4" w:space="0"/>
                    <w:left w:val="single" w:color="auto" w:sz="4" w:space="0"/>
                    <w:bottom w:val="single" w:color="auto" w:sz="4" w:space="0"/>
                    <w:right w:val="single" w:color="auto" w:sz="4" w:space="0"/>
                  </w:tcBorders>
                  <w:noWrap w:val="0"/>
                  <w:vAlign w:val="center"/>
                </w:tcPr>
                <w:p>
                  <w:pPr>
                    <w:pStyle w:val="38"/>
                    <w:bidi w:val="0"/>
                    <w:rPr>
                      <w:rFonts w:hint="default"/>
                      <w:u w:val="single"/>
                      <w:lang w:val="en-US" w:eastAsia="zh-CN"/>
                    </w:rPr>
                  </w:pPr>
                  <w:r>
                    <w:rPr>
                      <w:rFonts w:hint="eastAsia"/>
                      <w:u w:val="single"/>
                      <w:lang w:val="en-US" w:eastAsia="zh-CN"/>
                    </w:rPr>
                    <w:t>/</w:t>
                  </w:r>
                </w:p>
              </w:tc>
              <w:tc>
                <w:tcPr>
                  <w:tcW w:w="813" w:type="pct"/>
                  <w:tcBorders>
                    <w:top w:val="single" w:color="auto" w:sz="4" w:space="0"/>
                    <w:left w:val="single" w:color="auto" w:sz="4" w:space="0"/>
                    <w:bottom w:val="single" w:color="auto" w:sz="4" w:space="0"/>
                    <w:right w:val="single" w:color="auto" w:sz="4" w:space="0"/>
                  </w:tcBorders>
                  <w:noWrap w:val="0"/>
                  <w:vAlign w:val="center"/>
                </w:tcPr>
                <w:p>
                  <w:pPr>
                    <w:pStyle w:val="38"/>
                    <w:bidi w:val="0"/>
                    <w:rPr>
                      <w:rFonts w:hint="default" w:eastAsia="宋体"/>
                      <w:u w:val="single"/>
                      <w:lang w:val="en-US" w:eastAsia="zh-CN"/>
                    </w:rPr>
                  </w:pPr>
                  <w:r>
                    <w:rPr>
                      <w:rFonts w:hint="eastAsia"/>
                      <w:u w:val="single"/>
                      <w:lang w:val="en-US" w:eastAsia="zh-CN"/>
                    </w:rPr>
                    <w:t>/</w:t>
                  </w:r>
                </w:p>
              </w:tc>
              <w:tc>
                <w:tcPr>
                  <w:tcW w:w="515" w:type="pct"/>
                  <w:tcBorders>
                    <w:top w:val="single" w:color="auto" w:sz="4" w:space="0"/>
                    <w:left w:val="single" w:color="auto" w:sz="4" w:space="0"/>
                    <w:bottom w:val="single" w:color="auto" w:sz="4" w:space="0"/>
                    <w:right w:val="single" w:color="auto" w:sz="4" w:space="0"/>
                  </w:tcBorders>
                  <w:noWrap w:val="0"/>
                  <w:vAlign w:val="center"/>
                </w:tcPr>
                <w:p>
                  <w:pPr>
                    <w:pStyle w:val="38"/>
                    <w:bidi w:val="0"/>
                    <w:rPr>
                      <w:u w:val="single"/>
                    </w:rPr>
                  </w:pPr>
                  <w:r>
                    <w:rPr>
                      <w:u w:val="single"/>
                    </w:rPr>
                    <w:t>450</w:t>
                  </w:r>
                </w:p>
              </w:tc>
              <w:tc>
                <w:tcPr>
                  <w:tcW w:w="492" w:type="pct"/>
                  <w:tcBorders>
                    <w:top w:val="single" w:color="auto" w:sz="4" w:space="0"/>
                    <w:left w:val="single" w:color="auto" w:sz="4" w:space="0"/>
                    <w:bottom w:val="single" w:color="auto" w:sz="4" w:space="0"/>
                    <w:right w:val="single" w:color="auto" w:sz="4" w:space="0"/>
                  </w:tcBorders>
                  <w:noWrap w:val="0"/>
                  <w:vAlign w:val="center"/>
                </w:tcPr>
                <w:p>
                  <w:pPr>
                    <w:pStyle w:val="38"/>
                    <w:bidi w:val="0"/>
                    <w:rPr>
                      <w:u w:val="single"/>
                    </w:rPr>
                  </w:pPr>
                  <w:r>
                    <w:rPr>
                      <w:u w:val="single"/>
                    </w:rPr>
                    <w:t>220</w:t>
                  </w:r>
                </w:p>
              </w:tc>
              <w:tc>
                <w:tcPr>
                  <w:tcW w:w="470" w:type="pct"/>
                  <w:tcBorders>
                    <w:top w:val="single" w:color="auto" w:sz="4" w:space="0"/>
                    <w:left w:val="single" w:color="auto" w:sz="4" w:space="0"/>
                    <w:bottom w:val="single" w:color="auto" w:sz="4" w:space="0"/>
                    <w:right w:val="single" w:color="auto" w:sz="4" w:space="0"/>
                  </w:tcBorders>
                  <w:noWrap w:val="0"/>
                  <w:vAlign w:val="center"/>
                </w:tcPr>
                <w:p>
                  <w:pPr>
                    <w:pStyle w:val="38"/>
                    <w:bidi w:val="0"/>
                    <w:rPr>
                      <w:u w:val="single"/>
                    </w:rPr>
                  </w:pPr>
                  <w:r>
                    <w:rPr>
                      <w:u w:val="single"/>
                    </w:rPr>
                    <w:t>350</w:t>
                  </w:r>
                </w:p>
              </w:tc>
              <w:tc>
                <w:tcPr>
                  <w:tcW w:w="477" w:type="pct"/>
                  <w:tcBorders>
                    <w:top w:val="single" w:color="auto" w:sz="4" w:space="0"/>
                    <w:left w:val="single" w:color="auto" w:sz="4" w:space="0"/>
                    <w:bottom w:val="single" w:color="auto" w:sz="4" w:space="0"/>
                    <w:right w:val="single" w:color="auto" w:sz="4" w:space="0"/>
                  </w:tcBorders>
                  <w:noWrap w:val="0"/>
                  <w:vAlign w:val="center"/>
                </w:tcPr>
                <w:p>
                  <w:pPr>
                    <w:pStyle w:val="38"/>
                    <w:bidi w:val="0"/>
                    <w:rPr>
                      <w:u w:val="single"/>
                    </w:rPr>
                  </w:pPr>
                  <w:r>
                    <w:rPr>
                      <w:u w:val="single"/>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02" w:type="pct"/>
                  <w:vMerge w:val="continue"/>
                  <w:tcBorders>
                    <w:left w:val="single" w:color="auto" w:sz="4" w:space="0"/>
                    <w:bottom w:val="single" w:color="auto" w:sz="4" w:space="0"/>
                    <w:right w:val="single" w:color="auto" w:sz="4" w:space="0"/>
                  </w:tcBorders>
                  <w:noWrap w:val="0"/>
                  <w:vAlign w:val="center"/>
                </w:tcPr>
                <w:p>
                  <w:pPr>
                    <w:pStyle w:val="38"/>
                    <w:bidi w:val="0"/>
                    <w:rPr>
                      <w:rFonts w:hint="eastAsia"/>
                      <w:u w:val="single"/>
                    </w:rPr>
                  </w:pPr>
                </w:p>
              </w:tc>
              <w:tc>
                <w:tcPr>
                  <w:tcW w:w="632" w:type="pct"/>
                  <w:tcBorders>
                    <w:top w:val="single" w:color="auto" w:sz="4" w:space="0"/>
                    <w:left w:val="single" w:color="auto" w:sz="4" w:space="0"/>
                    <w:bottom w:val="single" w:color="auto" w:sz="4" w:space="0"/>
                    <w:right w:val="single" w:color="auto" w:sz="4" w:space="0"/>
                  </w:tcBorders>
                  <w:noWrap w:val="0"/>
                  <w:vAlign w:val="center"/>
                </w:tcPr>
                <w:p>
                  <w:pPr>
                    <w:pStyle w:val="38"/>
                    <w:bidi w:val="0"/>
                    <w:rPr>
                      <w:rFonts w:hint="eastAsia" w:eastAsia="宋体"/>
                      <w:u w:val="single"/>
                      <w:lang w:eastAsia="zh-CN"/>
                    </w:rPr>
                  </w:pPr>
                  <w:r>
                    <w:rPr>
                      <w:rFonts w:hint="eastAsia"/>
                      <w:u w:val="single"/>
                      <w:lang w:eastAsia="zh-CN"/>
                    </w:rPr>
                    <w:t>产生量（</w:t>
                  </w:r>
                  <w:r>
                    <w:rPr>
                      <w:rFonts w:hint="eastAsia"/>
                      <w:u w:val="single"/>
                      <w:lang w:val="en-US" w:eastAsia="zh-CN"/>
                    </w:rPr>
                    <w:t>t/a</w:t>
                  </w:r>
                  <w:r>
                    <w:rPr>
                      <w:rFonts w:hint="eastAsia"/>
                      <w:u w:val="single"/>
                      <w:lang w:eastAsia="zh-CN"/>
                    </w:rPr>
                    <w:t>）</w:t>
                  </w:r>
                </w:p>
              </w:tc>
              <w:tc>
                <w:tcPr>
                  <w:tcW w:w="795" w:type="pct"/>
                  <w:tcBorders>
                    <w:top w:val="single" w:color="auto" w:sz="4" w:space="0"/>
                    <w:left w:val="single" w:color="auto" w:sz="4" w:space="0"/>
                    <w:bottom w:val="single" w:color="auto" w:sz="4" w:space="0"/>
                    <w:right w:val="single" w:color="auto" w:sz="4" w:space="0"/>
                  </w:tcBorders>
                  <w:noWrap w:val="0"/>
                  <w:vAlign w:val="center"/>
                </w:tcPr>
                <w:p>
                  <w:pPr>
                    <w:pStyle w:val="38"/>
                    <w:bidi w:val="0"/>
                    <w:rPr>
                      <w:rFonts w:hint="default"/>
                      <w:u w:val="single"/>
                      <w:lang w:val="en-US" w:eastAsia="zh-CN"/>
                    </w:rPr>
                  </w:pPr>
                  <w:r>
                    <w:rPr>
                      <w:rFonts w:hint="eastAsia"/>
                      <w:u w:val="single"/>
                      <w:lang w:val="en-US" w:eastAsia="zh-CN"/>
                    </w:rPr>
                    <w:t>6.2</w:t>
                  </w:r>
                </w:p>
              </w:tc>
              <w:tc>
                <w:tcPr>
                  <w:tcW w:w="813" w:type="pct"/>
                  <w:tcBorders>
                    <w:top w:val="single" w:color="auto" w:sz="4" w:space="0"/>
                    <w:left w:val="single" w:color="auto" w:sz="4" w:space="0"/>
                    <w:bottom w:val="single" w:color="auto" w:sz="4" w:space="0"/>
                    <w:right w:val="single" w:color="auto" w:sz="4" w:space="0"/>
                  </w:tcBorders>
                  <w:noWrap w:val="0"/>
                  <w:vAlign w:val="center"/>
                </w:tcPr>
                <w:p>
                  <w:pPr>
                    <w:pStyle w:val="38"/>
                    <w:bidi w:val="0"/>
                    <w:rPr>
                      <w:rFonts w:hint="default"/>
                      <w:u w:val="single"/>
                      <w:lang w:val="en-US" w:eastAsia="zh-CN"/>
                    </w:rPr>
                  </w:pPr>
                  <w:r>
                    <w:rPr>
                      <w:rFonts w:hint="eastAsia"/>
                      <w:u w:val="single"/>
                      <w:lang w:val="en-US" w:eastAsia="zh-CN"/>
                    </w:rPr>
                    <w:t>609.37</w:t>
                  </w:r>
                </w:p>
              </w:tc>
              <w:tc>
                <w:tcPr>
                  <w:tcW w:w="515" w:type="pct"/>
                  <w:tcBorders>
                    <w:top w:val="single" w:color="auto" w:sz="4" w:space="0"/>
                    <w:left w:val="single" w:color="auto" w:sz="4" w:space="0"/>
                    <w:bottom w:val="single" w:color="auto" w:sz="4" w:space="0"/>
                    <w:right w:val="single" w:color="auto" w:sz="4" w:space="0"/>
                  </w:tcBorders>
                  <w:noWrap w:val="0"/>
                  <w:vAlign w:val="center"/>
                </w:tcPr>
                <w:p>
                  <w:pPr>
                    <w:pStyle w:val="38"/>
                    <w:bidi w:val="0"/>
                    <w:rPr>
                      <w:rFonts w:hint="default" w:eastAsia="宋体"/>
                      <w:u w:val="single"/>
                      <w:lang w:val="en-US" w:eastAsia="zh-CN"/>
                    </w:rPr>
                  </w:pPr>
                  <w:r>
                    <w:rPr>
                      <w:rFonts w:hint="eastAsia"/>
                      <w:u w:val="single"/>
                      <w:lang w:val="en-US" w:eastAsia="zh-CN"/>
                    </w:rPr>
                    <w:t>0.27</w:t>
                  </w:r>
                </w:p>
              </w:tc>
              <w:tc>
                <w:tcPr>
                  <w:tcW w:w="492" w:type="pct"/>
                  <w:tcBorders>
                    <w:top w:val="single" w:color="auto" w:sz="4" w:space="0"/>
                    <w:left w:val="single" w:color="auto" w:sz="4" w:space="0"/>
                    <w:bottom w:val="single" w:color="auto" w:sz="4" w:space="0"/>
                    <w:right w:val="single" w:color="auto" w:sz="4" w:space="0"/>
                  </w:tcBorders>
                  <w:noWrap w:val="0"/>
                  <w:vAlign w:val="center"/>
                </w:tcPr>
                <w:p>
                  <w:pPr>
                    <w:pStyle w:val="38"/>
                    <w:bidi w:val="0"/>
                    <w:rPr>
                      <w:rFonts w:hint="default" w:eastAsia="宋体"/>
                      <w:u w:val="single"/>
                      <w:lang w:val="en-US" w:eastAsia="zh-CN"/>
                    </w:rPr>
                  </w:pPr>
                  <w:r>
                    <w:rPr>
                      <w:rFonts w:hint="eastAsia"/>
                      <w:u w:val="single"/>
                      <w:lang w:val="en-US" w:eastAsia="zh-CN"/>
                    </w:rPr>
                    <w:t>0.13</w:t>
                  </w:r>
                </w:p>
              </w:tc>
              <w:tc>
                <w:tcPr>
                  <w:tcW w:w="470" w:type="pct"/>
                  <w:tcBorders>
                    <w:top w:val="single" w:color="auto" w:sz="4" w:space="0"/>
                    <w:left w:val="single" w:color="auto" w:sz="4" w:space="0"/>
                    <w:bottom w:val="single" w:color="auto" w:sz="4" w:space="0"/>
                    <w:right w:val="single" w:color="auto" w:sz="4" w:space="0"/>
                  </w:tcBorders>
                  <w:noWrap w:val="0"/>
                  <w:vAlign w:val="center"/>
                </w:tcPr>
                <w:p>
                  <w:pPr>
                    <w:pStyle w:val="38"/>
                    <w:bidi w:val="0"/>
                    <w:rPr>
                      <w:rFonts w:hint="default" w:eastAsia="宋体"/>
                      <w:u w:val="single"/>
                      <w:lang w:val="en-US" w:eastAsia="zh-CN"/>
                    </w:rPr>
                  </w:pPr>
                  <w:r>
                    <w:rPr>
                      <w:rFonts w:hint="eastAsia"/>
                      <w:u w:val="single"/>
                      <w:lang w:val="en-US" w:eastAsia="zh-CN"/>
                    </w:rPr>
                    <w:t>0.21</w:t>
                  </w:r>
                </w:p>
              </w:tc>
              <w:tc>
                <w:tcPr>
                  <w:tcW w:w="477" w:type="pct"/>
                  <w:tcBorders>
                    <w:top w:val="single" w:color="auto" w:sz="4" w:space="0"/>
                    <w:left w:val="single" w:color="auto" w:sz="4" w:space="0"/>
                    <w:bottom w:val="single" w:color="auto" w:sz="4" w:space="0"/>
                    <w:right w:val="single" w:color="auto" w:sz="4" w:space="0"/>
                  </w:tcBorders>
                  <w:noWrap w:val="0"/>
                  <w:vAlign w:val="center"/>
                </w:tcPr>
                <w:p>
                  <w:pPr>
                    <w:pStyle w:val="38"/>
                    <w:bidi w:val="0"/>
                    <w:rPr>
                      <w:rFonts w:hint="default" w:eastAsia="宋体"/>
                      <w:u w:val="single"/>
                      <w:lang w:val="en-US" w:eastAsia="zh-CN"/>
                    </w:rPr>
                  </w:pPr>
                  <w:r>
                    <w:rPr>
                      <w:rFonts w:hint="eastAsia"/>
                      <w:u w:val="single"/>
                      <w:lang w:val="en-US" w:eastAsia="zh-CN"/>
                    </w:rPr>
                    <w:t>0.03</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u w:val="single"/>
              </w:rPr>
            </w:pPr>
            <w:r>
              <w:rPr>
                <w:rFonts w:hint="eastAsia" w:cs="Times New Roman"/>
                <w:sz w:val="24"/>
                <w:szCs w:val="24"/>
                <w:u w:val="single"/>
                <w:lang w:eastAsia="zh-CN"/>
              </w:rPr>
              <w:t>③</w:t>
            </w:r>
            <w:r>
              <w:rPr>
                <w:rFonts w:hint="default" w:ascii="Times New Roman" w:hAnsi="Times New Roman" w:eastAsia="宋体" w:cs="Times New Roman"/>
                <w:sz w:val="24"/>
                <w:szCs w:val="24"/>
                <w:u w:val="single"/>
              </w:rPr>
              <w:t>垃圾渗滤液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u w:val="single"/>
                <w:lang w:val="en-US" w:eastAsia="zh-CN"/>
              </w:rPr>
            </w:pPr>
            <w:r>
              <w:rPr>
                <w:rFonts w:hint="eastAsia" w:cs="Times New Roman"/>
                <w:sz w:val="24"/>
                <w:szCs w:val="24"/>
                <w:u w:val="single"/>
                <w:lang w:val="en-US" w:eastAsia="zh-CN"/>
              </w:rPr>
              <w:t>根据前文计算，</w:t>
            </w:r>
            <w:r>
              <w:rPr>
                <w:rFonts w:hint="default" w:ascii="Times New Roman" w:hAnsi="Times New Roman" w:eastAsia="宋体" w:cs="Times New Roman"/>
                <w:sz w:val="24"/>
                <w:szCs w:val="24"/>
                <w:u w:val="single"/>
              </w:rPr>
              <w:t>项目</w:t>
            </w:r>
            <w:r>
              <w:rPr>
                <w:rFonts w:hint="default" w:ascii="Times New Roman" w:hAnsi="Times New Roman" w:eastAsia="宋体" w:cs="Times New Roman"/>
                <w:sz w:val="24"/>
                <w:szCs w:val="24"/>
                <w:u w:val="single"/>
                <w:lang w:val="en-US" w:eastAsia="zh-CN"/>
              </w:rPr>
              <w:t>垃圾</w:t>
            </w:r>
            <w:r>
              <w:rPr>
                <w:rFonts w:hint="default" w:ascii="Times New Roman" w:hAnsi="Times New Roman" w:eastAsia="宋体" w:cs="Times New Roman"/>
                <w:sz w:val="24"/>
                <w:szCs w:val="24"/>
                <w:u w:val="single"/>
              </w:rPr>
              <w:t>转运站渗滤液最大日产生量</w:t>
            </w:r>
            <w:r>
              <w:rPr>
                <w:rFonts w:hint="default" w:ascii="Times New Roman" w:hAnsi="Times New Roman" w:cs="Times New Roman"/>
                <w:sz w:val="24"/>
                <w:szCs w:val="24"/>
                <w:u w:val="single"/>
                <w:lang w:val="en-US" w:eastAsia="zh-CN"/>
              </w:rPr>
              <w:t>为</w:t>
            </w:r>
            <w:r>
              <w:rPr>
                <w:rFonts w:hint="eastAsia" w:cs="Times New Roman"/>
                <w:u w:val="single"/>
                <w:lang w:val="en-US" w:eastAsia="zh-CN"/>
              </w:rPr>
              <w:t>12</w:t>
            </w:r>
            <w:r>
              <w:rPr>
                <w:rFonts w:hint="default" w:ascii="Times New Roman" w:hAnsi="Times New Roman" w:cs="Times New Roman"/>
                <w:u w:val="single"/>
                <w:lang w:val="en-US" w:eastAsia="zh-CN"/>
              </w:rPr>
              <w:t>t，</w:t>
            </w:r>
            <w:r>
              <w:rPr>
                <w:rFonts w:hint="eastAsia" w:cs="Times New Roman"/>
                <w:u w:val="single"/>
                <w:lang w:val="en-US" w:eastAsia="zh-CN"/>
              </w:rPr>
              <w:t>年产生量为4380t/a。</w:t>
            </w:r>
          </w:p>
          <w:p>
            <w:pPr>
              <w:spacing w:line="360" w:lineRule="auto"/>
              <w:ind w:firstLine="480"/>
              <w:jc w:val="both"/>
              <w:rPr>
                <w:rFonts w:hint="default" w:ascii="Times New Roman" w:hAnsi="Times New Roman" w:cs="Times New Roman"/>
                <w:color w:val="auto"/>
                <w:sz w:val="24"/>
                <w:szCs w:val="24"/>
                <w:u w:val="single"/>
                <w:lang w:val="en-US" w:eastAsia="zh-CN"/>
              </w:rPr>
            </w:pPr>
            <w:r>
              <w:rPr>
                <w:rFonts w:hint="default" w:ascii="Times New Roman" w:hAnsi="Times New Roman" w:cs="Times New Roman"/>
                <w:color w:val="auto"/>
                <w:sz w:val="24"/>
                <w:szCs w:val="24"/>
                <w:u w:val="single"/>
                <w:lang w:val="en-US" w:eastAsia="zh-CN"/>
              </w:rPr>
              <w:t>根据《排污许可证申请与核发技术规范 环境卫生管理业》（HJ 1106-2020）中的表3环境卫生管理业排污单位废水排放情况一览表，本项目为生活垃圾中转站，不涉及工业固体废物，垃圾渗滤液</w:t>
            </w:r>
            <w:r>
              <w:rPr>
                <w:rFonts w:hint="default" w:ascii="Times New Roman" w:hAnsi="Times New Roman" w:cs="Times New Roman"/>
                <w:color w:val="auto"/>
                <w:sz w:val="24"/>
                <w:szCs w:val="24"/>
                <w:u w:val="single"/>
              </w:rPr>
              <w:t>中主要污染物为</w:t>
            </w:r>
            <w:r>
              <w:rPr>
                <w:rFonts w:hint="default" w:ascii="Times New Roman" w:hAnsi="Times New Roman" w:cs="Times New Roman"/>
                <w:color w:val="auto"/>
                <w:sz w:val="24"/>
                <w:szCs w:val="24"/>
                <w:u w:val="single"/>
                <w:lang w:val="en-US" w:eastAsia="zh-CN"/>
              </w:rPr>
              <w:t>C</w:t>
            </w:r>
            <w:r>
              <w:rPr>
                <w:rFonts w:hint="default" w:ascii="Times New Roman" w:hAnsi="Times New Roman" w:cs="Times New Roman"/>
                <w:color w:val="auto"/>
                <w:sz w:val="24"/>
                <w:szCs w:val="24"/>
                <w:u w:val="single"/>
              </w:rPr>
              <w:t>OD、</w:t>
            </w:r>
            <w:r>
              <w:rPr>
                <w:rFonts w:hint="default" w:ascii="Times New Roman" w:hAnsi="Times New Roman" w:cs="Times New Roman"/>
                <w:color w:val="auto"/>
                <w:sz w:val="24"/>
                <w:szCs w:val="24"/>
                <w:u w:val="single"/>
                <w:lang w:val="en-US" w:eastAsia="zh-CN"/>
              </w:rPr>
              <w:t>BOD</w:t>
            </w:r>
            <w:r>
              <w:rPr>
                <w:rFonts w:hint="default" w:ascii="Times New Roman" w:hAnsi="Times New Roman" w:cs="Times New Roman"/>
                <w:color w:val="auto"/>
                <w:sz w:val="24"/>
                <w:szCs w:val="24"/>
                <w:u w:val="single"/>
                <w:vertAlign w:val="subscript"/>
                <w:lang w:val="en-US" w:eastAsia="zh-CN"/>
              </w:rPr>
              <w:t>5</w:t>
            </w:r>
            <w:r>
              <w:rPr>
                <w:rFonts w:hint="default" w:ascii="Times New Roman" w:hAnsi="Times New Roman" w:cs="Times New Roman"/>
                <w:color w:val="auto"/>
                <w:sz w:val="24"/>
                <w:szCs w:val="24"/>
                <w:u w:val="single"/>
                <w:lang w:val="en-US" w:eastAsia="zh-CN"/>
              </w:rPr>
              <w:t>、</w:t>
            </w:r>
            <w:r>
              <w:rPr>
                <w:rFonts w:hint="default" w:ascii="Times New Roman" w:hAnsi="Times New Roman" w:cs="Times New Roman"/>
                <w:color w:val="auto"/>
                <w:sz w:val="24"/>
                <w:szCs w:val="24"/>
                <w:u w:val="single"/>
              </w:rPr>
              <w:t>悬浮物</w:t>
            </w:r>
            <w:r>
              <w:rPr>
                <w:rFonts w:hint="default" w:ascii="Times New Roman" w:hAnsi="Times New Roman" w:cs="Times New Roman"/>
                <w:color w:val="auto"/>
                <w:sz w:val="24"/>
                <w:szCs w:val="24"/>
                <w:u w:val="single"/>
                <w:lang w:eastAsia="zh-CN"/>
              </w:rPr>
              <w:t>、</w:t>
            </w:r>
            <w:r>
              <w:rPr>
                <w:rFonts w:hint="default" w:ascii="Times New Roman" w:hAnsi="Times New Roman" w:cs="Times New Roman"/>
                <w:color w:val="auto"/>
                <w:sz w:val="24"/>
                <w:szCs w:val="24"/>
                <w:u w:val="single"/>
                <w:lang w:val="en-US" w:eastAsia="zh-CN"/>
              </w:rPr>
              <w:t>氨氮</w:t>
            </w:r>
            <w:r>
              <w:rPr>
                <w:rFonts w:hint="default" w:ascii="Times New Roman" w:hAnsi="Times New Roman" w:cs="Times New Roman"/>
                <w:color w:val="auto"/>
                <w:sz w:val="24"/>
                <w:szCs w:val="24"/>
                <w:u w:val="single"/>
                <w:lang w:eastAsia="zh-CN"/>
              </w:rPr>
              <w:t>，</w:t>
            </w:r>
            <w:r>
              <w:rPr>
                <w:rFonts w:hint="default" w:ascii="Times New Roman" w:hAnsi="Times New Roman" w:cs="Times New Roman"/>
                <w:color w:val="auto"/>
                <w:sz w:val="24"/>
                <w:szCs w:val="24"/>
                <w:u w:val="single"/>
                <w:lang w:val="en-US" w:eastAsia="zh-CN"/>
              </w:rPr>
              <w:t>主要污染物浓度</w:t>
            </w:r>
            <w:r>
              <w:rPr>
                <w:rFonts w:hint="default" w:ascii="Times New Roman" w:hAnsi="Times New Roman" w:cs="Times New Roman"/>
                <w:color w:val="auto"/>
                <w:sz w:val="24"/>
                <w:szCs w:val="24"/>
                <w:u w:val="single"/>
              </w:rPr>
              <w:t>参考</w:t>
            </w:r>
            <w:r>
              <w:rPr>
                <w:rFonts w:hint="default" w:ascii="Times New Roman" w:hAnsi="Times New Roman" w:cs="Times New Roman"/>
                <w:color w:val="auto"/>
                <w:sz w:val="24"/>
                <w:szCs w:val="24"/>
                <w:u w:val="single"/>
                <w:lang w:val="en-US" w:eastAsia="zh-CN"/>
              </w:rPr>
              <w:t>《</w:t>
            </w:r>
            <w:r>
              <w:rPr>
                <w:rFonts w:hint="default" w:ascii="Times New Roman" w:hAnsi="Times New Roman" w:cs="Times New Roman"/>
                <w:color w:val="auto"/>
                <w:sz w:val="24"/>
                <w:szCs w:val="24"/>
                <w:u w:val="single"/>
              </w:rPr>
              <w:fldChar w:fldCharType="begin"/>
            </w:r>
            <w:r>
              <w:rPr>
                <w:rFonts w:hint="default" w:ascii="Times New Roman" w:hAnsi="Times New Roman" w:cs="Times New Roman"/>
                <w:color w:val="auto"/>
                <w:sz w:val="24"/>
                <w:szCs w:val="24"/>
                <w:u w:val="single"/>
              </w:rPr>
              <w:instrText xml:space="preserve"> HYPERLINK "https://www.baidu.com/link?url=ziAzJ8ciLiz1w5DYFL3kIcfyHktHOVE0aftAebbqnbgQn-PAD6W1_Ol55IdHMmdftTqHApX-PIi59YKMpifeTp9K6J_cRASO9PJCFYLt0za&amp;wd=&amp;eqid=88863a7f000bb2c1000000065ebb5806" \t "https://www.baidu.com/_blank" </w:instrText>
            </w:r>
            <w:r>
              <w:rPr>
                <w:rFonts w:hint="default" w:ascii="Times New Roman" w:hAnsi="Times New Roman" w:cs="Times New Roman"/>
                <w:color w:val="auto"/>
                <w:sz w:val="24"/>
                <w:szCs w:val="24"/>
                <w:u w:val="single"/>
              </w:rPr>
              <w:fldChar w:fldCharType="separate"/>
            </w:r>
            <w:r>
              <w:rPr>
                <w:rFonts w:hint="default" w:ascii="Times New Roman" w:hAnsi="Times New Roman" w:cs="Times New Roman"/>
                <w:color w:val="auto"/>
                <w:sz w:val="24"/>
                <w:szCs w:val="24"/>
                <w:u w:val="single"/>
              </w:rPr>
              <w:t>生活垃圾填埋场渗滤液处理工程技术规范</w:t>
            </w:r>
            <w:r>
              <w:rPr>
                <w:rFonts w:hint="default" w:ascii="Times New Roman" w:hAnsi="Times New Roman" w:cs="Times New Roman"/>
                <w:color w:val="auto"/>
                <w:sz w:val="24"/>
                <w:szCs w:val="24"/>
                <w:u w:val="single"/>
                <w:lang w:val="en-US" w:eastAsia="zh-CN"/>
              </w:rPr>
              <w:t>》</w:t>
            </w:r>
            <w:r>
              <w:rPr>
                <w:rFonts w:hint="default" w:ascii="Times New Roman" w:hAnsi="Times New Roman" w:cs="Times New Roman"/>
                <w:color w:val="auto"/>
                <w:sz w:val="24"/>
                <w:szCs w:val="24"/>
                <w:u w:val="single"/>
              </w:rPr>
              <w:t>(HJ564-2010)</w:t>
            </w:r>
            <w:r>
              <w:rPr>
                <w:rFonts w:hint="default" w:ascii="Times New Roman" w:hAnsi="Times New Roman" w:cs="Times New Roman"/>
                <w:color w:val="auto"/>
                <w:sz w:val="24"/>
                <w:szCs w:val="24"/>
                <w:u w:val="single"/>
              </w:rPr>
              <w:fldChar w:fldCharType="end"/>
            </w:r>
            <w:r>
              <w:rPr>
                <w:rFonts w:hint="default" w:ascii="Times New Roman" w:hAnsi="Times New Roman" w:cs="Times New Roman"/>
                <w:color w:val="auto"/>
                <w:sz w:val="24"/>
                <w:szCs w:val="24"/>
                <w:u w:val="single"/>
                <w:lang w:val="en-US" w:eastAsia="zh-CN"/>
              </w:rPr>
              <w:t>中的表1，主要污染物浓度数值如下表。</w:t>
            </w:r>
          </w:p>
          <w:p>
            <w:pPr>
              <w:pStyle w:val="66"/>
              <w:keepNext w:val="0"/>
              <w:keepLines w:val="0"/>
              <w:pageBreakBefore w:val="0"/>
              <w:widowControl w:val="0"/>
              <w:numPr>
                <w:ilvl w:val="0"/>
                <w:numId w:val="0"/>
              </w:numPr>
              <w:kinsoku/>
              <w:wordWrap/>
              <w:overflowPunct/>
              <w:topLinePunct w:val="0"/>
              <w:autoSpaceDE/>
              <w:autoSpaceDN/>
              <w:bidi w:val="0"/>
              <w:adjustRightInd w:val="0"/>
              <w:snapToGrid w:val="0"/>
              <w:ind w:left="0" w:leftChars="0"/>
              <w:textAlignment w:val="auto"/>
              <w:rPr>
                <w:rFonts w:hint="default" w:ascii="Times New Roman" w:hAnsi="Times New Roman" w:eastAsia="宋体" w:cs="Times New Roman"/>
                <w:b/>
                <w:bCs/>
                <w:u w:val="single"/>
                <w:lang w:val="en-US" w:eastAsia="zh-CN"/>
              </w:rPr>
            </w:pPr>
            <w:r>
              <w:rPr>
                <w:rFonts w:hint="default" w:ascii="Times New Roman" w:hAnsi="Times New Roman" w:eastAsia="宋体" w:cs="Times New Roman"/>
                <w:b/>
                <w:bCs/>
                <w:u w:val="single"/>
                <w:lang w:val="en-US" w:eastAsia="zh-CN"/>
              </w:rPr>
              <w:t>表</w:t>
            </w:r>
            <w:r>
              <w:rPr>
                <w:rFonts w:hint="eastAsia" w:cs="Times New Roman"/>
                <w:b/>
                <w:bCs/>
                <w:u w:val="single"/>
                <w:lang w:val="en-US" w:eastAsia="zh-CN"/>
              </w:rPr>
              <w:t xml:space="preserve">4.2-12   </w:t>
            </w:r>
            <w:r>
              <w:rPr>
                <w:rFonts w:hint="default" w:ascii="Times New Roman" w:hAnsi="Times New Roman" w:eastAsia="宋体" w:cs="Times New Roman"/>
                <w:b/>
                <w:bCs/>
                <w:u w:val="single"/>
                <w:lang w:val="en-US" w:eastAsia="zh-CN"/>
              </w:rPr>
              <w:t>渗滤液典型水质</w:t>
            </w:r>
          </w:p>
          <w:tbl>
            <w:tblPr>
              <w:tblStyle w:val="32"/>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155"/>
              <w:gridCol w:w="2158"/>
              <w:gridCol w:w="21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污染因子</w:t>
                  </w:r>
                </w:p>
              </w:tc>
              <w:tc>
                <w:tcPr>
                  <w:tcW w:w="12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初期渗滤液</w:t>
                  </w:r>
                </w:p>
              </w:tc>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中后期渗滤液</w:t>
                  </w:r>
                </w:p>
              </w:tc>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封场后渗滤液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default" w:ascii="Times New Roman" w:hAnsi="Times New Roman" w:cs="Times New Roman"/>
                      <w:color w:val="auto"/>
                      <w:sz w:val="21"/>
                      <w:szCs w:val="21"/>
                      <w:u w:val="single"/>
                      <w:vertAlign w:val="baseline"/>
                      <w:lang w:val="en-US" w:eastAsia="zh-CN"/>
                    </w:rPr>
                    <w:t>BOD</w:t>
                  </w:r>
                  <w:r>
                    <w:rPr>
                      <w:rFonts w:hint="default" w:ascii="Times New Roman" w:hAnsi="Times New Roman" w:cs="Times New Roman"/>
                      <w:color w:val="auto"/>
                      <w:sz w:val="21"/>
                      <w:szCs w:val="21"/>
                      <w:u w:val="single"/>
                      <w:vertAlign w:val="subscript"/>
                      <w:lang w:val="en-US" w:eastAsia="zh-CN"/>
                    </w:rPr>
                    <w:t>5</w:t>
                  </w:r>
                  <w:r>
                    <w:rPr>
                      <w:rFonts w:hint="default" w:ascii="Times New Roman" w:hAnsi="Times New Roman" w:cs="Times New Roman"/>
                      <w:color w:val="auto"/>
                      <w:sz w:val="21"/>
                      <w:szCs w:val="21"/>
                      <w:u w:val="single"/>
                      <w:vertAlign w:val="baseline"/>
                      <w:lang w:val="en-US" w:eastAsia="zh-CN"/>
                    </w:rPr>
                    <w:t>（mg/L）</w:t>
                  </w:r>
                </w:p>
              </w:tc>
              <w:tc>
                <w:tcPr>
                  <w:tcW w:w="12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eastAsia" w:ascii="Times New Roman" w:hAnsi="Times New Roman" w:cs="Times New Roman"/>
                      <w:color w:val="auto"/>
                      <w:sz w:val="21"/>
                      <w:szCs w:val="21"/>
                      <w:u w:val="single"/>
                      <w:vertAlign w:val="baseline"/>
                      <w:lang w:val="en-US" w:eastAsia="zh-CN"/>
                    </w:rPr>
                    <w:t>3</w:t>
                  </w:r>
                  <w:r>
                    <w:rPr>
                      <w:rFonts w:hint="default" w:ascii="Times New Roman" w:hAnsi="Times New Roman" w:cs="Times New Roman"/>
                      <w:color w:val="auto"/>
                      <w:sz w:val="21"/>
                      <w:szCs w:val="21"/>
                      <w:u w:val="single"/>
                      <w:vertAlign w:val="baseline"/>
                      <w:lang w:val="en-US" w:eastAsia="zh-CN"/>
                    </w:rPr>
                    <w:t>000-20000</w:t>
                  </w:r>
                </w:p>
              </w:tc>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default" w:ascii="Times New Roman" w:hAnsi="Times New Roman" w:cs="Times New Roman"/>
                      <w:color w:val="auto"/>
                      <w:sz w:val="21"/>
                      <w:szCs w:val="21"/>
                      <w:u w:val="single"/>
                      <w:vertAlign w:val="baseline"/>
                      <w:lang w:val="en-US" w:eastAsia="zh-CN"/>
                    </w:rPr>
                    <w:t>2000-4000</w:t>
                  </w:r>
                </w:p>
              </w:tc>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default" w:ascii="Times New Roman" w:hAnsi="Times New Roman" w:cs="Times New Roman"/>
                      <w:color w:val="auto"/>
                      <w:sz w:val="21"/>
                      <w:szCs w:val="21"/>
                      <w:u w:val="single"/>
                      <w:vertAlign w:val="baseline"/>
                      <w:lang w:val="en-US" w:eastAsia="zh-CN"/>
                    </w:rPr>
                    <w:t>300-2000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default" w:ascii="Times New Roman" w:hAnsi="Times New Roman" w:cs="Times New Roman"/>
                      <w:color w:val="auto"/>
                      <w:sz w:val="21"/>
                      <w:szCs w:val="21"/>
                      <w:u w:val="single"/>
                      <w:vertAlign w:val="baseline"/>
                      <w:lang w:val="en-US" w:eastAsia="zh-CN"/>
                    </w:rPr>
                    <w:t>COD（mg/L）</w:t>
                  </w:r>
                </w:p>
              </w:tc>
              <w:tc>
                <w:tcPr>
                  <w:tcW w:w="12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default" w:ascii="Times New Roman" w:hAnsi="Times New Roman" w:cs="Times New Roman"/>
                      <w:color w:val="auto"/>
                      <w:sz w:val="21"/>
                      <w:szCs w:val="21"/>
                      <w:u w:val="single"/>
                      <w:vertAlign w:val="baseline"/>
                      <w:lang w:val="en-US" w:eastAsia="zh-CN"/>
                    </w:rPr>
                    <w:t>10000-30000</w:t>
                  </w:r>
                </w:p>
              </w:tc>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rPr>
                  </w:pPr>
                  <w:r>
                    <w:rPr>
                      <w:rFonts w:hint="default" w:ascii="Times New Roman" w:hAnsi="Times New Roman" w:cs="Times New Roman"/>
                      <w:color w:val="auto"/>
                      <w:sz w:val="21"/>
                      <w:szCs w:val="21"/>
                      <w:u w:val="single"/>
                      <w:vertAlign w:val="baseline"/>
                      <w:lang w:val="en-US" w:eastAsia="zh-CN"/>
                    </w:rPr>
                    <w:t>5000-10000</w:t>
                  </w:r>
                </w:p>
              </w:tc>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rPr>
                  </w:pPr>
                  <w:r>
                    <w:rPr>
                      <w:rFonts w:hint="default" w:ascii="Times New Roman" w:hAnsi="Times New Roman" w:cs="Times New Roman"/>
                      <w:color w:val="auto"/>
                      <w:sz w:val="21"/>
                      <w:szCs w:val="21"/>
                      <w:u w:val="single"/>
                      <w:vertAlign w:val="baseline"/>
                      <w:lang w:val="en-US" w:eastAsia="zh-CN"/>
                    </w:rPr>
                    <w:t>1000-5000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default" w:ascii="Times New Roman" w:hAnsi="Times New Roman" w:cs="Times New Roman"/>
                      <w:color w:val="auto"/>
                      <w:sz w:val="21"/>
                      <w:szCs w:val="21"/>
                      <w:u w:val="single"/>
                      <w:vertAlign w:val="baseline"/>
                      <w:lang w:val="en-US" w:eastAsia="zh-CN"/>
                    </w:rPr>
                    <w:t>氨氮（mg/L）</w:t>
                  </w:r>
                </w:p>
              </w:tc>
              <w:tc>
                <w:tcPr>
                  <w:tcW w:w="12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default" w:ascii="Times New Roman" w:hAnsi="Times New Roman" w:cs="Times New Roman"/>
                      <w:color w:val="auto"/>
                      <w:sz w:val="21"/>
                      <w:szCs w:val="21"/>
                      <w:u w:val="single"/>
                      <w:vertAlign w:val="baseline"/>
                      <w:lang w:val="en-US" w:eastAsia="zh-CN"/>
                    </w:rPr>
                    <w:t>200-2000</w:t>
                  </w:r>
                </w:p>
              </w:tc>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rPr>
                  </w:pPr>
                  <w:r>
                    <w:rPr>
                      <w:rFonts w:hint="default" w:ascii="Times New Roman" w:hAnsi="Times New Roman" w:cs="Times New Roman"/>
                      <w:color w:val="auto"/>
                      <w:sz w:val="21"/>
                      <w:szCs w:val="21"/>
                      <w:u w:val="single"/>
                      <w:vertAlign w:val="baseline"/>
                      <w:lang w:val="en-US" w:eastAsia="zh-CN"/>
                    </w:rPr>
                    <w:t>500-3000</w:t>
                  </w:r>
                </w:p>
              </w:tc>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rPr>
                  </w:pPr>
                  <w:r>
                    <w:rPr>
                      <w:rFonts w:hint="default" w:ascii="Times New Roman" w:hAnsi="Times New Roman" w:cs="Times New Roman"/>
                      <w:color w:val="auto"/>
                      <w:sz w:val="21"/>
                      <w:szCs w:val="21"/>
                      <w:u w:val="single"/>
                      <w:vertAlign w:val="baseline"/>
                      <w:lang w:val="en-US" w:eastAsia="zh-CN"/>
                    </w:rPr>
                    <w:t>1000-3000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default" w:ascii="Times New Roman" w:hAnsi="Times New Roman" w:cs="Times New Roman"/>
                      <w:color w:val="auto"/>
                      <w:sz w:val="21"/>
                      <w:szCs w:val="21"/>
                      <w:u w:val="single"/>
                      <w:vertAlign w:val="baseline"/>
                      <w:lang w:val="en-US" w:eastAsia="zh-CN"/>
                    </w:rPr>
                    <w:t>SS（mg/L）</w:t>
                  </w:r>
                </w:p>
              </w:tc>
              <w:tc>
                <w:tcPr>
                  <w:tcW w:w="12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rPr>
                  </w:pPr>
                  <w:r>
                    <w:rPr>
                      <w:rFonts w:hint="default" w:ascii="Times New Roman" w:hAnsi="Times New Roman" w:cs="Times New Roman"/>
                      <w:color w:val="auto"/>
                      <w:sz w:val="21"/>
                      <w:szCs w:val="21"/>
                      <w:u w:val="single"/>
                      <w:vertAlign w:val="baseline"/>
                      <w:lang w:val="en-US" w:eastAsia="zh-CN"/>
                    </w:rPr>
                    <w:t>500-2000</w:t>
                  </w:r>
                </w:p>
              </w:tc>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rPr>
                  </w:pPr>
                  <w:r>
                    <w:rPr>
                      <w:rFonts w:hint="default" w:ascii="Times New Roman" w:hAnsi="Times New Roman" w:cs="Times New Roman"/>
                      <w:color w:val="auto"/>
                      <w:sz w:val="21"/>
                      <w:szCs w:val="21"/>
                      <w:u w:val="single"/>
                      <w:vertAlign w:val="baseline"/>
                      <w:lang w:val="en-US" w:eastAsia="zh-CN"/>
                    </w:rPr>
                    <w:t>200-1500</w:t>
                  </w:r>
                </w:p>
              </w:tc>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rPr>
                  </w:pPr>
                  <w:r>
                    <w:rPr>
                      <w:rFonts w:hint="default" w:ascii="Times New Roman" w:hAnsi="Times New Roman" w:cs="Times New Roman"/>
                      <w:color w:val="auto"/>
                      <w:sz w:val="21"/>
                      <w:szCs w:val="21"/>
                      <w:u w:val="single"/>
                      <w:vertAlign w:val="baseline"/>
                      <w:lang w:val="en-US" w:eastAsia="zh-CN"/>
                    </w:rPr>
                    <w:t>200-1000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default" w:ascii="Times New Roman" w:hAnsi="Times New Roman" w:cs="Times New Roman"/>
                      <w:color w:val="auto"/>
                      <w:sz w:val="21"/>
                      <w:szCs w:val="21"/>
                      <w:u w:val="single"/>
                      <w:vertAlign w:val="baseline"/>
                      <w:lang w:val="en-US" w:eastAsia="zh-CN"/>
                    </w:rPr>
                    <w:t>pH</w:t>
                  </w:r>
                </w:p>
              </w:tc>
              <w:tc>
                <w:tcPr>
                  <w:tcW w:w="12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default" w:ascii="Times New Roman" w:hAnsi="Times New Roman" w:cs="Times New Roman"/>
                      <w:color w:val="auto"/>
                      <w:sz w:val="21"/>
                      <w:szCs w:val="21"/>
                      <w:u w:val="single"/>
                      <w:vertAlign w:val="baseline"/>
                      <w:lang w:val="en-US" w:eastAsia="zh-CN"/>
                    </w:rPr>
                    <w:t>5-8</w:t>
                  </w:r>
                </w:p>
              </w:tc>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default" w:ascii="Times New Roman" w:hAnsi="Times New Roman" w:cs="Times New Roman"/>
                      <w:color w:val="auto"/>
                      <w:sz w:val="21"/>
                      <w:szCs w:val="21"/>
                      <w:u w:val="single"/>
                      <w:vertAlign w:val="baseline"/>
                      <w:lang w:val="en-US" w:eastAsia="zh-CN"/>
                    </w:rPr>
                    <w:t>6-8</w:t>
                  </w:r>
                </w:p>
              </w:tc>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default" w:ascii="Times New Roman" w:hAnsi="Times New Roman" w:cs="Times New Roman"/>
                      <w:color w:val="auto"/>
                      <w:sz w:val="21"/>
                      <w:szCs w:val="21"/>
                      <w:u w:val="single"/>
                      <w:vertAlign w:val="baseline"/>
                      <w:lang w:val="en-US" w:eastAsia="zh-CN"/>
                    </w:rPr>
                    <w:t>6-9</w:t>
                  </w:r>
                </w:p>
              </w:tc>
            </w:tr>
          </w:tbl>
          <w:p>
            <w:pPr>
              <w:keepNext w:val="0"/>
              <w:keepLines w:val="0"/>
              <w:pageBreakBefore w:val="0"/>
              <w:widowControl w:val="0"/>
              <w:kinsoku/>
              <w:wordWrap w:val="0"/>
              <w:overflowPunct/>
              <w:topLinePunct w:val="0"/>
              <w:autoSpaceDE w:val="0"/>
              <w:autoSpaceDN w:val="0"/>
              <w:bidi w:val="0"/>
              <w:adjustRightInd/>
              <w:snapToGrid/>
              <w:spacing w:before="0" w:beforeLines="100"/>
              <w:textAlignment w:val="auto"/>
              <w:rPr>
                <w:rFonts w:hint="eastAsia" w:ascii="Times New Roman" w:hAnsi="Times New Roman" w:eastAsia="宋体" w:cs="Times New Roman"/>
                <w:u w:val="single"/>
                <w:lang w:eastAsia="zh-CN"/>
              </w:rPr>
            </w:pPr>
            <w:r>
              <w:rPr>
                <w:rFonts w:hint="default" w:ascii="Times New Roman" w:hAnsi="Times New Roman" w:cs="Times New Roman"/>
                <w:u w:val="single"/>
              </w:rPr>
              <w:t>本项目</w:t>
            </w:r>
            <w:r>
              <w:rPr>
                <w:rFonts w:hint="default" w:ascii="Times New Roman" w:hAnsi="Times New Roman" w:cs="Times New Roman"/>
                <w:u w:val="single"/>
                <w:lang w:val="en-US" w:eastAsia="zh-CN"/>
              </w:rPr>
              <w:t>按初期渗滤液计</w:t>
            </w:r>
            <w:r>
              <w:rPr>
                <w:rFonts w:hint="default" w:ascii="Times New Roman" w:hAnsi="Times New Roman" w:cs="Times New Roman"/>
                <w:u w:val="single"/>
              </w:rPr>
              <w:t>，</w:t>
            </w:r>
            <w:r>
              <w:rPr>
                <w:rFonts w:hint="eastAsia" w:cs="Times New Roman"/>
                <w:u w:val="single"/>
                <w:lang w:eastAsia="zh-CN"/>
              </w:rPr>
              <w:t>根据本项目垃圾产生情况，</w:t>
            </w:r>
            <w:r>
              <w:rPr>
                <w:rFonts w:hint="default" w:ascii="Times New Roman" w:hAnsi="Times New Roman" w:cs="Times New Roman"/>
                <w:u w:val="single"/>
              </w:rPr>
              <w:t>垃圾渗滤液中</w:t>
            </w:r>
            <w:r>
              <w:rPr>
                <w:rFonts w:hint="default" w:ascii="Times New Roman" w:hAnsi="Times New Roman" w:cs="Times New Roman"/>
                <w:u w:val="single"/>
                <w:lang w:val="en-US" w:eastAsia="zh-CN"/>
              </w:rPr>
              <w:t>B</w:t>
            </w:r>
            <w:r>
              <w:rPr>
                <w:rFonts w:hint="default" w:ascii="Times New Roman" w:hAnsi="Times New Roman" w:cs="Times New Roman"/>
                <w:u w:val="single"/>
              </w:rPr>
              <w:t>OD</w:t>
            </w:r>
            <w:r>
              <w:rPr>
                <w:rFonts w:hint="default" w:ascii="Times New Roman" w:hAnsi="Times New Roman" w:cs="Times New Roman"/>
                <w:u w:val="single"/>
                <w:vertAlign w:val="subscript"/>
                <w:lang w:val="en-US" w:eastAsia="zh-CN"/>
              </w:rPr>
              <w:t>5</w:t>
            </w:r>
            <w:r>
              <w:rPr>
                <w:rFonts w:hint="default" w:ascii="Times New Roman" w:hAnsi="Times New Roman" w:cs="Times New Roman"/>
                <w:u w:val="single"/>
              </w:rPr>
              <w:t>浓度为</w:t>
            </w:r>
            <w:r>
              <w:rPr>
                <w:rFonts w:hint="eastAsia" w:cs="Times New Roman"/>
                <w:u w:val="single"/>
                <w:lang w:val="en-US" w:eastAsia="zh-CN"/>
              </w:rPr>
              <w:t>11000</w:t>
            </w:r>
            <w:r>
              <w:rPr>
                <w:rFonts w:hint="default" w:ascii="Times New Roman" w:hAnsi="Times New Roman" w:cs="Times New Roman"/>
                <w:u w:val="single"/>
              </w:rPr>
              <w:t>mg/L，COD浓度为</w:t>
            </w:r>
            <w:r>
              <w:rPr>
                <w:rFonts w:hint="eastAsia" w:cs="Times New Roman"/>
                <w:u w:val="single"/>
                <w:lang w:val="en-US" w:eastAsia="zh-CN"/>
              </w:rPr>
              <w:t>25000</w:t>
            </w:r>
            <w:r>
              <w:rPr>
                <w:rFonts w:hint="default" w:ascii="Times New Roman" w:hAnsi="Times New Roman" w:cs="Times New Roman"/>
                <w:u w:val="single"/>
              </w:rPr>
              <w:t>mg/L，氨氮浓度为</w:t>
            </w:r>
            <w:r>
              <w:rPr>
                <w:rFonts w:hint="eastAsia" w:cs="Times New Roman"/>
                <w:u w:val="single"/>
                <w:lang w:val="en-US" w:eastAsia="zh-CN"/>
              </w:rPr>
              <w:t>11</w:t>
            </w:r>
            <w:r>
              <w:rPr>
                <w:rFonts w:hint="default" w:ascii="Times New Roman" w:hAnsi="Times New Roman" w:cs="Times New Roman"/>
                <w:u w:val="single"/>
              </w:rPr>
              <w:t>00mg/L，</w:t>
            </w:r>
            <w:r>
              <w:rPr>
                <w:rFonts w:hint="default" w:ascii="Times New Roman" w:hAnsi="Times New Roman" w:cs="Times New Roman"/>
                <w:u w:val="single"/>
                <w:lang w:val="en-US" w:eastAsia="zh-CN"/>
              </w:rPr>
              <w:t>SS</w:t>
            </w:r>
            <w:r>
              <w:rPr>
                <w:rFonts w:hint="default" w:ascii="Times New Roman" w:hAnsi="Times New Roman" w:cs="Times New Roman"/>
                <w:u w:val="single"/>
              </w:rPr>
              <w:t>浓度为</w:t>
            </w:r>
            <w:r>
              <w:rPr>
                <w:rFonts w:hint="eastAsia" w:cs="Times New Roman"/>
                <w:u w:val="single"/>
                <w:lang w:val="en-US" w:eastAsia="zh-CN"/>
              </w:rPr>
              <w:t>13</w:t>
            </w:r>
            <w:r>
              <w:rPr>
                <w:rFonts w:hint="default" w:ascii="Times New Roman" w:hAnsi="Times New Roman" w:cs="Times New Roman"/>
                <w:u w:val="single"/>
              </w:rPr>
              <w:t>00mg/L</w:t>
            </w:r>
            <w:r>
              <w:rPr>
                <w:rFonts w:hint="eastAsia" w:cs="Times New Roman"/>
                <w:u w:val="single"/>
                <w:lang w:eastAsia="zh-CN"/>
              </w:rPr>
              <w:t>，本项目垃圾渗滤液污染物产生情况如下。</w:t>
            </w:r>
          </w:p>
          <w:p>
            <w:pPr>
              <w:pStyle w:val="43"/>
              <w:bidi w:val="0"/>
              <w:rPr>
                <w:rFonts w:hint="eastAsia"/>
                <w:u w:val="single"/>
                <w:lang w:val="en-US" w:eastAsia="zh-CN"/>
              </w:rPr>
            </w:pPr>
            <w:r>
              <w:rPr>
                <w:rFonts w:hint="eastAsia"/>
                <w:u w:val="single"/>
                <w:lang w:eastAsia="zh-CN"/>
              </w:rPr>
              <w:t>表</w:t>
            </w:r>
            <w:r>
              <w:rPr>
                <w:rFonts w:hint="eastAsia"/>
                <w:u w:val="single"/>
                <w:lang w:val="en-US" w:eastAsia="zh-CN"/>
              </w:rPr>
              <w:t xml:space="preserve">  项目垃圾渗滤液污染物产生情况</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2611"/>
              <w:gridCol w:w="2054"/>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497" w:type="dxa"/>
                </w:tcPr>
                <w:p>
                  <w:pPr>
                    <w:pStyle w:val="38"/>
                    <w:bidi w:val="0"/>
                    <w:rPr>
                      <w:rFonts w:hint="default"/>
                      <w:b/>
                      <w:bCs/>
                      <w:u w:val="single"/>
                      <w:lang w:val="en-US" w:eastAsia="zh-CN"/>
                    </w:rPr>
                  </w:pPr>
                  <w:r>
                    <w:rPr>
                      <w:rFonts w:hint="eastAsia"/>
                      <w:b/>
                      <w:bCs/>
                      <w:u w:val="single"/>
                      <w:lang w:val="en-US" w:eastAsia="zh-CN"/>
                    </w:rPr>
                    <w:t>序号</w:t>
                  </w:r>
                </w:p>
              </w:tc>
              <w:tc>
                <w:tcPr>
                  <w:tcW w:w="2611" w:type="dxa"/>
                </w:tcPr>
                <w:p>
                  <w:pPr>
                    <w:pStyle w:val="38"/>
                    <w:bidi w:val="0"/>
                    <w:rPr>
                      <w:rFonts w:hint="default"/>
                      <w:b/>
                      <w:bCs/>
                      <w:u w:val="single"/>
                      <w:lang w:val="en-US" w:eastAsia="zh-CN"/>
                    </w:rPr>
                  </w:pPr>
                  <w:r>
                    <w:rPr>
                      <w:rFonts w:hint="eastAsia"/>
                      <w:b/>
                      <w:bCs/>
                      <w:u w:val="single"/>
                      <w:lang w:val="en-US" w:eastAsia="zh-CN"/>
                    </w:rPr>
                    <w:t>污染物指标</w:t>
                  </w:r>
                </w:p>
              </w:tc>
              <w:tc>
                <w:tcPr>
                  <w:tcW w:w="2054" w:type="dxa"/>
                </w:tcPr>
                <w:p>
                  <w:pPr>
                    <w:pStyle w:val="38"/>
                    <w:bidi w:val="0"/>
                    <w:rPr>
                      <w:rFonts w:hint="default"/>
                      <w:b/>
                      <w:bCs/>
                      <w:u w:val="single"/>
                      <w:lang w:val="en-US" w:eastAsia="zh-CN"/>
                    </w:rPr>
                  </w:pPr>
                  <w:r>
                    <w:rPr>
                      <w:rFonts w:hint="eastAsia"/>
                      <w:b/>
                      <w:bCs/>
                      <w:u w:val="single"/>
                      <w:lang w:val="en-US" w:eastAsia="zh-CN"/>
                    </w:rPr>
                    <w:t>产生浓度</w:t>
                  </w:r>
                </w:p>
              </w:tc>
              <w:tc>
                <w:tcPr>
                  <w:tcW w:w="2055" w:type="dxa"/>
                </w:tcPr>
                <w:p>
                  <w:pPr>
                    <w:pStyle w:val="38"/>
                    <w:bidi w:val="0"/>
                    <w:rPr>
                      <w:rFonts w:hint="default"/>
                      <w:b/>
                      <w:bCs/>
                      <w:u w:val="single"/>
                      <w:lang w:val="en-US" w:eastAsia="zh-CN"/>
                    </w:rPr>
                  </w:pPr>
                  <w:r>
                    <w:rPr>
                      <w:rFonts w:hint="eastAsia"/>
                      <w:b/>
                      <w:bCs/>
                      <w:u w:val="single"/>
                      <w:lang w:val="en-US" w:eastAsia="zh-CN"/>
                    </w:rPr>
                    <w:t>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497" w:type="dxa"/>
                </w:tcPr>
                <w:p>
                  <w:pPr>
                    <w:pStyle w:val="38"/>
                    <w:bidi w:val="0"/>
                    <w:rPr>
                      <w:rFonts w:hint="default"/>
                      <w:u w:val="single"/>
                      <w:lang w:val="en-US" w:eastAsia="zh-CN"/>
                    </w:rPr>
                  </w:pPr>
                  <w:r>
                    <w:rPr>
                      <w:rFonts w:hint="eastAsia"/>
                      <w:u w:val="single"/>
                      <w:lang w:val="en-US" w:eastAsia="zh-CN"/>
                    </w:rPr>
                    <w:t>1</w:t>
                  </w:r>
                </w:p>
              </w:tc>
              <w:tc>
                <w:tcPr>
                  <w:tcW w:w="2611" w:type="dxa"/>
                </w:tcPr>
                <w:p>
                  <w:pPr>
                    <w:pStyle w:val="38"/>
                    <w:bidi w:val="0"/>
                    <w:rPr>
                      <w:rFonts w:hint="default"/>
                      <w:u w:val="single"/>
                      <w:lang w:val="en-US" w:eastAsia="zh-CN"/>
                    </w:rPr>
                  </w:pPr>
                  <w:r>
                    <w:rPr>
                      <w:rFonts w:hint="eastAsia"/>
                      <w:u w:val="single"/>
                      <w:lang w:val="en-US" w:eastAsia="zh-CN"/>
                    </w:rPr>
                    <w:t>渗滤液</w:t>
                  </w:r>
                </w:p>
              </w:tc>
              <w:tc>
                <w:tcPr>
                  <w:tcW w:w="2054" w:type="dxa"/>
                </w:tcPr>
                <w:p>
                  <w:pPr>
                    <w:pStyle w:val="38"/>
                    <w:bidi w:val="0"/>
                    <w:rPr>
                      <w:rFonts w:hint="default"/>
                      <w:u w:val="single"/>
                      <w:lang w:val="en-US" w:eastAsia="zh-CN"/>
                    </w:rPr>
                  </w:pPr>
                  <w:r>
                    <w:rPr>
                      <w:rFonts w:hint="eastAsia"/>
                      <w:u w:val="single"/>
                      <w:lang w:val="en-US" w:eastAsia="zh-CN"/>
                    </w:rPr>
                    <w:t>/</w:t>
                  </w:r>
                </w:p>
              </w:tc>
              <w:tc>
                <w:tcPr>
                  <w:tcW w:w="2055" w:type="dxa"/>
                </w:tcPr>
                <w:p>
                  <w:pPr>
                    <w:pStyle w:val="38"/>
                    <w:bidi w:val="0"/>
                    <w:rPr>
                      <w:rFonts w:hint="default"/>
                      <w:u w:val="single"/>
                      <w:lang w:val="en-US" w:eastAsia="zh-CN"/>
                    </w:rPr>
                  </w:pPr>
                  <w:r>
                    <w:rPr>
                      <w:rFonts w:hint="eastAsia"/>
                      <w:u w:val="single"/>
                      <w:lang w:val="en-US" w:eastAsia="zh-CN"/>
                    </w:rPr>
                    <w:t>4380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497" w:type="dxa"/>
                </w:tcPr>
                <w:p>
                  <w:pPr>
                    <w:pStyle w:val="38"/>
                    <w:bidi w:val="0"/>
                    <w:rPr>
                      <w:rFonts w:hint="default"/>
                      <w:u w:val="single"/>
                      <w:lang w:val="en-US" w:eastAsia="zh-CN"/>
                    </w:rPr>
                  </w:pPr>
                  <w:r>
                    <w:rPr>
                      <w:rFonts w:hint="eastAsia"/>
                      <w:u w:val="single"/>
                      <w:lang w:val="en-US" w:eastAsia="zh-CN"/>
                    </w:rPr>
                    <w:t>2</w:t>
                  </w:r>
                </w:p>
              </w:tc>
              <w:tc>
                <w:tcPr>
                  <w:tcW w:w="26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vertAlign w:val="baseline"/>
                      <w:lang w:val="en-US" w:eastAsia="zh-CN" w:bidi="zh-CN"/>
                    </w:rPr>
                  </w:pPr>
                  <w:r>
                    <w:rPr>
                      <w:rFonts w:hint="default" w:ascii="Times New Roman" w:hAnsi="Times New Roman" w:cs="Times New Roman"/>
                      <w:color w:val="auto"/>
                      <w:sz w:val="21"/>
                      <w:szCs w:val="21"/>
                      <w:u w:val="single"/>
                      <w:vertAlign w:val="baseline"/>
                      <w:lang w:val="en-US" w:eastAsia="zh-CN"/>
                    </w:rPr>
                    <w:t>BOD</w:t>
                  </w:r>
                  <w:r>
                    <w:rPr>
                      <w:rFonts w:hint="default" w:ascii="Times New Roman" w:hAnsi="Times New Roman" w:cs="Times New Roman"/>
                      <w:color w:val="auto"/>
                      <w:sz w:val="21"/>
                      <w:szCs w:val="21"/>
                      <w:u w:val="single"/>
                      <w:vertAlign w:val="subscript"/>
                      <w:lang w:val="en-US" w:eastAsia="zh-CN"/>
                    </w:rPr>
                    <w:t>5</w:t>
                  </w:r>
                  <w:r>
                    <w:rPr>
                      <w:rFonts w:hint="default" w:ascii="Times New Roman" w:hAnsi="Times New Roman" w:cs="Times New Roman"/>
                      <w:color w:val="auto"/>
                      <w:sz w:val="21"/>
                      <w:szCs w:val="21"/>
                      <w:u w:val="single"/>
                      <w:vertAlign w:val="baseline"/>
                      <w:lang w:val="en-US" w:eastAsia="zh-CN"/>
                    </w:rPr>
                    <w:t>（mg/L）</w:t>
                  </w:r>
                </w:p>
              </w:tc>
              <w:tc>
                <w:tcPr>
                  <w:tcW w:w="2054" w:type="dxa"/>
                </w:tcPr>
                <w:p>
                  <w:pPr>
                    <w:pStyle w:val="38"/>
                    <w:bidi w:val="0"/>
                    <w:rPr>
                      <w:rFonts w:hint="default"/>
                      <w:u w:val="single"/>
                      <w:lang w:val="en-US" w:eastAsia="zh-CN"/>
                    </w:rPr>
                  </w:pPr>
                  <w:r>
                    <w:rPr>
                      <w:rFonts w:hint="eastAsia" w:cs="Times New Roman"/>
                      <w:u w:val="single"/>
                      <w:lang w:val="en-US" w:eastAsia="zh-CN"/>
                    </w:rPr>
                    <w:t>11000</w:t>
                  </w:r>
                </w:p>
              </w:tc>
              <w:tc>
                <w:tcPr>
                  <w:tcW w:w="2055" w:type="dxa"/>
                </w:tcPr>
                <w:p>
                  <w:pPr>
                    <w:pStyle w:val="38"/>
                    <w:bidi w:val="0"/>
                    <w:rPr>
                      <w:rFonts w:hint="default"/>
                      <w:u w:val="single"/>
                      <w:lang w:val="en-US" w:eastAsia="zh-CN"/>
                    </w:rPr>
                  </w:pPr>
                  <w:r>
                    <w:rPr>
                      <w:rFonts w:hint="eastAsia"/>
                      <w:u w:val="single"/>
                      <w:lang w:val="en-US" w:eastAsia="zh-CN"/>
                    </w:rPr>
                    <w:t>48.18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497" w:type="dxa"/>
                </w:tcPr>
                <w:p>
                  <w:pPr>
                    <w:pStyle w:val="38"/>
                    <w:bidi w:val="0"/>
                    <w:rPr>
                      <w:rFonts w:hint="default"/>
                      <w:u w:val="single"/>
                      <w:lang w:val="en-US" w:eastAsia="zh-CN"/>
                    </w:rPr>
                  </w:pPr>
                  <w:r>
                    <w:rPr>
                      <w:rFonts w:hint="eastAsia"/>
                      <w:u w:val="single"/>
                      <w:lang w:val="en-US" w:eastAsia="zh-CN"/>
                    </w:rPr>
                    <w:t>3</w:t>
                  </w:r>
                </w:p>
              </w:tc>
              <w:tc>
                <w:tcPr>
                  <w:tcW w:w="26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vertAlign w:val="baseline"/>
                      <w:lang w:val="en-US" w:eastAsia="zh-CN" w:bidi="zh-CN"/>
                    </w:rPr>
                  </w:pPr>
                  <w:r>
                    <w:rPr>
                      <w:rFonts w:hint="default" w:ascii="Times New Roman" w:hAnsi="Times New Roman" w:cs="Times New Roman"/>
                      <w:color w:val="auto"/>
                      <w:sz w:val="21"/>
                      <w:szCs w:val="21"/>
                      <w:u w:val="single"/>
                      <w:vertAlign w:val="baseline"/>
                      <w:lang w:val="en-US" w:eastAsia="zh-CN"/>
                    </w:rPr>
                    <w:t>COD（mg/L）</w:t>
                  </w:r>
                </w:p>
              </w:tc>
              <w:tc>
                <w:tcPr>
                  <w:tcW w:w="2054" w:type="dxa"/>
                </w:tcPr>
                <w:p>
                  <w:pPr>
                    <w:pStyle w:val="38"/>
                    <w:bidi w:val="0"/>
                    <w:rPr>
                      <w:rFonts w:hint="default"/>
                      <w:u w:val="single"/>
                      <w:lang w:val="en-US" w:eastAsia="zh-CN"/>
                    </w:rPr>
                  </w:pPr>
                  <w:r>
                    <w:rPr>
                      <w:rFonts w:hint="eastAsia" w:cs="Times New Roman"/>
                      <w:u w:val="single"/>
                      <w:lang w:val="en-US" w:eastAsia="zh-CN"/>
                    </w:rPr>
                    <w:t>25000</w:t>
                  </w:r>
                </w:p>
              </w:tc>
              <w:tc>
                <w:tcPr>
                  <w:tcW w:w="2055" w:type="dxa"/>
                </w:tcPr>
                <w:p>
                  <w:pPr>
                    <w:pStyle w:val="38"/>
                    <w:bidi w:val="0"/>
                    <w:rPr>
                      <w:rFonts w:hint="default"/>
                      <w:u w:val="single"/>
                      <w:lang w:val="en-US" w:eastAsia="zh-CN"/>
                    </w:rPr>
                  </w:pPr>
                  <w:r>
                    <w:rPr>
                      <w:rFonts w:hint="eastAsia"/>
                      <w:u w:val="single"/>
                      <w:lang w:val="en-US" w:eastAsia="zh-CN"/>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497" w:type="dxa"/>
                </w:tcPr>
                <w:p>
                  <w:pPr>
                    <w:pStyle w:val="38"/>
                    <w:bidi w:val="0"/>
                    <w:rPr>
                      <w:rFonts w:hint="default"/>
                      <w:u w:val="single"/>
                      <w:lang w:val="en-US" w:eastAsia="zh-CN"/>
                    </w:rPr>
                  </w:pPr>
                  <w:r>
                    <w:rPr>
                      <w:rFonts w:hint="eastAsia"/>
                      <w:u w:val="single"/>
                      <w:lang w:val="en-US" w:eastAsia="zh-CN"/>
                    </w:rPr>
                    <w:t>4</w:t>
                  </w:r>
                </w:p>
              </w:tc>
              <w:tc>
                <w:tcPr>
                  <w:tcW w:w="26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vertAlign w:val="baseline"/>
                      <w:lang w:val="en-US" w:eastAsia="zh-CN" w:bidi="zh-CN"/>
                    </w:rPr>
                  </w:pPr>
                  <w:r>
                    <w:rPr>
                      <w:rFonts w:hint="default" w:ascii="Times New Roman" w:hAnsi="Times New Roman" w:cs="Times New Roman"/>
                      <w:color w:val="auto"/>
                      <w:sz w:val="21"/>
                      <w:szCs w:val="21"/>
                      <w:u w:val="single"/>
                      <w:vertAlign w:val="baseline"/>
                      <w:lang w:val="en-US" w:eastAsia="zh-CN"/>
                    </w:rPr>
                    <w:t>氨氮（mg/L）</w:t>
                  </w:r>
                </w:p>
              </w:tc>
              <w:tc>
                <w:tcPr>
                  <w:tcW w:w="2054" w:type="dxa"/>
                </w:tcPr>
                <w:p>
                  <w:pPr>
                    <w:pStyle w:val="38"/>
                    <w:bidi w:val="0"/>
                    <w:rPr>
                      <w:rFonts w:hint="default"/>
                      <w:u w:val="single"/>
                      <w:lang w:val="en-US" w:eastAsia="zh-CN"/>
                    </w:rPr>
                  </w:pPr>
                  <w:r>
                    <w:rPr>
                      <w:rFonts w:hint="eastAsia" w:cs="Times New Roman"/>
                      <w:u w:val="single"/>
                      <w:lang w:val="en-US" w:eastAsia="zh-CN"/>
                    </w:rPr>
                    <w:t>1100</w:t>
                  </w:r>
                </w:p>
              </w:tc>
              <w:tc>
                <w:tcPr>
                  <w:tcW w:w="2055" w:type="dxa"/>
                </w:tcPr>
                <w:p>
                  <w:pPr>
                    <w:pStyle w:val="38"/>
                    <w:bidi w:val="0"/>
                    <w:rPr>
                      <w:rFonts w:hint="default"/>
                      <w:u w:val="single"/>
                      <w:lang w:val="en-US" w:eastAsia="zh-CN"/>
                    </w:rPr>
                  </w:pPr>
                  <w:r>
                    <w:rPr>
                      <w:rFonts w:hint="eastAsia"/>
                      <w:u w:val="single"/>
                      <w:lang w:val="en-US" w:eastAsia="zh-CN"/>
                    </w:rPr>
                    <w:t>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497" w:type="dxa"/>
                </w:tcPr>
                <w:p>
                  <w:pPr>
                    <w:pStyle w:val="38"/>
                    <w:bidi w:val="0"/>
                    <w:rPr>
                      <w:rFonts w:hint="default"/>
                      <w:u w:val="single"/>
                      <w:lang w:val="en-US" w:eastAsia="zh-CN"/>
                    </w:rPr>
                  </w:pPr>
                  <w:r>
                    <w:rPr>
                      <w:rFonts w:hint="eastAsia"/>
                      <w:u w:val="single"/>
                      <w:lang w:val="en-US" w:eastAsia="zh-CN"/>
                    </w:rPr>
                    <w:t>5</w:t>
                  </w:r>
                </w:p>
              </w:tc>
              <w:tc>
                <w:tcPr>
                  <w:tcW w:w="26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vertAlign w:val="baseline"/>
                      <w:lang w:val="en-US" w:eastAsia="zh-CN" w:bidi="zh-CN"/>
                    </w:rPr>
                  </w:pPr>
                  <w:r>
                    <w:rPr>
                      <w:rFonts w:hint="default" w:ascii="Times New Roman" w:hAnsi="Times New Roman" w:cs="Times New Roman"/>
                      <w:color w:val="auto"/>
                      <w:sz w:val="21"/>
                      <w:szCs w:val="21"/>
                      <w:u w:val="single"/>
                      <w:vertAlign w:val="baseline"/>
                      <w:lang w:val="en-US" w:eastAsia="zh-CN"/>
                    </w:rPr>
                    <w:t>SS（mg/L）</w:t>
                  </w:r>
                </w:p>
              </w:tc>
              <w:tc>
                <w:tcPr>
                  <w:tcW w:w="2054" w:type="dxa"/>
                </w:tcPr>
                <w:p>
                  <w:pPr>
                    <w:pStyle w:val="38"/>
                    <w:bidi w:val="0"/>
                    <w:rPr>
                      <w:rFonts w:hint="default"/>
                      <w:u w:val="single"/>
                      <w:lang w:val="en-US" w:eastAsia="zh-CN"/>
                    </w:rPr>
                  </w:pPr>
                  <w:r>
                    <w:rPr>
                      <w:rFonts w:hint="eastAsia" w:cs="Times New Roman"/>
                      <w:u w:val="single"/>
                      <w:lang w:val="en-US" w:eastAsia="zh-CN"/>
                    </w:rPr>
                    <w:t>1300</w:t>
                  </w:r>
                </w:p>
              </w:tc>
              <w:tc>
                <w:tcPr>
                  <w:tcW w:w="2055" w:type="dxa"/>
                </w:tcPr>
                <w:p>
                  <w:pPr>
                    <w:pStyle w:val="38"/>
                    <w:bidi w:val="0"/>
                    <w:rPr>
                      <w:rFonts w:hint="default"/>
                      <w:u w:val="single"/>
                      <w:lang w:val="en-US" w:eastAsia="zh-CN"/>
                    </w:rPr>
                  </w:pPr>
                  <w:r>
                    <w:rPr>
                      <w:rFonts w:hint="eastAsia"/>
                      <w:u w:val="single"/>
                      <w:lang w:val="en-US" w:eastAsia="zh-CN"/>
                    </w:rPr>
                    <w:t>5.69</w:t>
                  </w:r>
                </w:p>
              </w:tc>
            </w:tr>
          </w:tbl>
          <w:p>
            <w:pPr>
              <w:keepNext w:val="0"/>
              <w:keepLines w:val="0"/>
              <w:pageBreakBefore w:val="0"/>
              <w:widowControl w:val="0"/>
              <w:kinsoku/>
              <w:wordWrap w:val="0"/>
              <w:overflowPunct/>
              <w:topLinePunct w:val="0"/>
              <w:autoSpaceDE w:val="0"/>
              <w:autoSpaceDN w:val="0"/>
              <w:bidi w:val="0"/>
              <w:adjustRightInd/>
              <w:snapToGrid/>
              <w:spacing w:before="0" w:beforeLines="100"/>
              <w:textAlignment w:val="auto"/>
              <w:rPr>
                <w:rFonts w:hint="eastAsia"/>
                <w:u w:val="single"/>
                <w:lang w:eastAsia="zh-CN"/>
              </w:rPr>
            </w:pPr>
            <w:r>
              <w:rPr>
                <w:rFonts w:hint="eastAsia"/>
                <w:u w:val="single"/>
                <w:lang w:eastAsia="zh-CN"/>
              </w:rPr>
              <w:t>项目产生的</w:t>
            </w:r>
            <w:r>
              <w:rPr>
                <w:rFonts w:hint="eastAsia"/>
                <w:u w:val="single"/>
              </w:rPr>
              <w:t>渗滤液</w:t>
            </w:r>
            <w:r>
              <w:rPr>
                <w:rFonts w:hint="eastAsia"/>
                <w:u w:val="single"/>
                <w:lang w:eastAsia="zh-CN"/>
              </w:rPr>
              <w:t>通过渗滤液真空收集管道收集至渗滤液收集池，与项目冲洗废水一起通过管道输送至凤凰县垃圾填埋场渗滤液处理系统，冲洗废水及垃圾渗滤液日最大产生总量为</w:t>
            </w:r>
            <w:r>
              <w:rPr>
                <w:rFonts w:hint="eastAsia"/>
                <w:u w:val="single"/>
                <w:lang w:val="en-US" w:eastAsia="zh-CN"/>
              </w:rPr>
              <w:t>18.2t/d，年产生量为4989.37t/a</w:t>
            </w:r>
            <w:r>
              <w:rPr>
                <w:rFonts w:hint="eastAsia"/>
                <w:u w:val="single"/>
                <w:lang w:eastAsia="zh-CN"/>
              </w:rPr>
              <w:t>。</w:t>
            </w:r>
          </w:p>
          <w:p>
            <w:pPr>
              <w:keepNext w:val="0"/>
              <w:keepLines w:val="0"/>
              <w:pageBreakBefore w:val="0"/>
              <w:widowControl w:val="0"/>
              <w:kinsoku/>
              <w:wordWrap w:val="0"/>
              <w:overflowPunct/>
              <w:topLinePunct w:val="0"/>
              <w:autoSpaceDE w:val="0"/>
              <w:autoSpaceDN w:val="0"/>
              <w:bidi w:val="0"/>
              <w:adjustRightInd/>
              <w:snapToGrid/>
              <w:spacing w:before="0"/>
              <w:textAlignment w:val="auto"/>
              <w:rPr>
                <w:rFonts w:hint="default" w:ascii="Times New Roman" w:hAnsi="Times New Roman" w:cs="Times New Roman"/>
                <w:u w:val="single"/>
              </w:rPr>
            </w:pPr>
            <w:r>
              <w:rPr>
                <w:rFonts w:hint="eastAsia"/>
                <w:u w:val="single"/>
                <w:lang w:eastAsia="zh-CN"/>
              </w:rPr>
              <w:t>垃圾渗滤液输送至凤凰县垃圾填埋场渗滤液处理系统后</w:t>
            </w:r>
            <w:r>
              <w:rPr>
                <w:rFonts w:hint="eastAsia"/>
                <w:u w:val="single"/>
              </w:rPr>
              <w:t>进入调节池调节后通过提升泵提升至原水储罐，通过砂滤、芯式过滤器进入一级碟管式反渗透系统，一级碟管式反渗透浓缩液进入浓缩池最后回灌，透过液进入二级碟管式反渗透系统，二级碟管式反渗透系统透过液经过脱气塔脱除透过液中溶解的酸性气体后可达到《生活垃圾填埋污染控制标准》(GB16889-97)</w:t>
            </w:r>
            <w:r>
              <w:rPr>
                <w:rFonts w:hint="eastAsia"/>
                <w:u w:val="single"/>
                <w:lang w:eastAsia="zh-CN"/>
              </w:rPr>
              <w:t>表</w:t>
            </w:r>
            <w:r>
              <w:rPr>
                <w:rFonts w:hint="eastAsia"/>
                <w:u w:val="single"/>
                <w:lang w:val="en-US" w:eastAsia="zh-CN"/>
              </w:rPr>
              <w:t>2</w:t>
            </w:r>
            <w:r>
              <w:rPr>
                <w:rFonts w:hint="eastAsia"/>
                <w:u w:val="single"/>
              </w:rPr>
              <w:t>标准进而经专用管道排入风凰县污水处理厂集中处置</w:t>
            </w:r>
            <w:r>
              <w:rPr>
                <w:rFonts w:hint="eastAsia"/>
                <w:u w:val="single"/>
                <w:lang w:eastAsia="zh-CN"/>
              </w:rPr>
              <w:t>后达到《城镇污水处理厂污染物排放标准》（</w:t>
            </w:r>
            <w:r>
              <w:rPr>
                <w:rFonts w:hint="eastAsia"/>
                <w:u w:val="single"/>
                <w:lang w:val="en-US" w:eastAsia="zh-CN"/>
              </w:rPr>
              <w:t>GB18918-2022</w:t>
            </w:r>
            <w:r>
              <w:rPr>
                <w:rFonts w:hint="eastAsia"/>
                <w:u w:val="single"/>
                <w:lang w:eastAsia="zh-CN"/>
              </w:rPr>
              <w:t>）一级</w:t>
            </w:r>
            <w:r>
              <w:rPr>
                <w:rFonts w:hint="eastAsia"/>
                <w:u w:val="single"/>
                <w:lang w:val="en-US" w:eastAsia="zh-CN"/>
              </w:rPr>
              <w:t>A标准</w:t>
            </w:r>
            <w:r>
              <w:rPr>
                <w:rFonts w:hint="eastAsia"/>
                <w:u w:val="single"/>
                <w:lang w:eastAsia="zh-CN"/>
              </w:rPr>
              <w:t>后外排</w:t>
            </w:r>
            <w:r>
              <w:rPr>
                <w:rFonts w:hint="default" w:ascii="Times New Roman" w:hAnsi="Times New Roman" w:cs="Times New Roman"/>
                <w:u w:val="single"/>
                <w:lang w:val="en-US" w:eastAsia="zh-CN"/>
              </w:rPr>
              <w:t>，</w:t>
            </w:r>
            <w:r>
              <w:rPr>
                <w:rFonts w:hint="eastAsia" w:cs="Times New Roman"/>
                <w:u w:val="single"/>
                <w:lang w:val="en-US" w:eastAsia="zh-CN"/>
              </w:rPr>
              <w:t>参照《凤凰首创环境综合治理有限责任公司突发环境事件应急预案》中废水排放分析，本项目渗滤液</w:t>
            </w:r>
            <w:r>
              <w:rPr>
                <w:rFonts w:hint="default" w:ascii="Times New Roman" w:hAnsi="Times New Roman" w:cs="Times New Roman"/>
                <w:u w:val="single"/>
              </w:rPr>
              <w:t>回灌至垃圾填埋场的</w:t>
            </w:r>
            <w:r>
              <w:rPr>
                <w:rFonts w:hint="default" w:ascii="Times New Roman" w:hAnsi="Times New Roman" w:cs="Times New Roman"/>
                <w:u w:val="single"/>
                <w:lang w:val="en-US" w:eastAsia="zh-CN"/>
              </w:rPr>
              <w:t>一</w:t>
            </w:r>
            <w:r>
              <w:rPr>
                <w:rFonts w:hint="default" w:ascii="Times New Roman" w:hAnsi="Times New Roman" w:cs="Times New Roman"/>
                <w:u w:val="single"/>
              </w:rPr>
              <w:t>级浓缩液的排放量约为</w:t>
            </w:r>
            <w:r>
              <w:rPr>
                <w:rFonts w:hint="eastAsia" w:cs="Times New Roman"/>
                <w:u w:val="single"/>
                <w:lang w:val="en-US" w:eastAsia="zh-CN"/>
              </w:rPr>
              <w:t>3.64</w:t>
            </w:r>
            <w:r>
              <w:rPr>
                <w:rFonts w:hint="default" w:ascii="Times New Roman" w:hAnsi="Times New Roman" w:cs="Times New Roman"/>
                <w:u w:val="single"/>
                <w:lang w:val="en-US" w:eastAsia="zh-CN"/>
              </w:rPr>
              <w:t>t/</w:t>
            </w:r>
            <w:r>
              <w:rPr>
                <w:rFonts w:hint="default" w:ascii="Times New Roman" w:hAnsi="Times New Roman" w:cs="Times New Roman"/>
                <w:u w:val="single"/>
              </w:rPr>
              <w:t>d</w:t>
            </w:r>
            <w:r>
              <w:rPr>
                <w:rFonts w:hint="eastAsia" w:cs="Times New Roman"/>
                <w:u w:val="single"/>
                <w:lang w:eastAsia="zh-CN"/>
              </w:rPr>
              <w:t>（</w:t>
            </w:r>
            <w:r>
              <w:rPr>
                <w:rFonts w:hint="eastAsia" w:cs="Times New Roman"/>
                <w:u w:val="single"/>
                <w:lang w:val="en-US" w:eastAsia="zh-CN"/>
              </w:rPr>
              <w:t>997.87</w:t>
            </w:r>
            <w:r>
              <w:rPr>
                <w:rFonts w:hint="eastAsia"/>
                <w:u w:val="single"/>
                <w:lang w:val="en-US" w:eastAsia="zh-CN"/>
              </w:rPr>
              <w:t>t/a</w:t>
            </w:r>
            <w:r>
              <w:rPr>
                <w:rFonts w:hint="eastAsia" w:cs="Times New Roman"/>
                <w:u w:val="single"/>
                <w:lang w:eastAsia="zh-CN"/>
              </w:rPr>
              <w:t>）</w:t>
            </w:r>
            <w:r>
              <w:rPr>
                <w:rFonts w:hint="default" w:ascii="Times New Roman" w:hAnsi="Times New Roman" w:cs="Times New Roman"/>
                <w:u w:val="single"/>
                <w:lang w:eastAsia="zh-CN"/>
              </w:rPr>
              <w:t>，</w:t>
            </w:r>
            <w:r>
              <w:rPr>
                <w:rFonts w:hint="default" w:ascii="Times New Roman" w:hAnsi="Times New Roman" w:cs="Times New Roman"/>
                <w:u w:val="single"/>
              </w:rPr>
              <w:t>通过专用管道排放至</w:t>
            </w:r>
            <w:r>
              <w:rPr>
                <w:rFonts w:hint="default" w:ascii="Times New Roman" w:hAnsi="Times New Roman" w:cs="Times New Roman"/>
                <w:u w:val="single"/>
                <w:lang w:val="en-US" w:eastAsia="zh-CN"/>
              </w:rPr>
              <w:t>凤凰</w:t>
            </w:r>
            <w:r>
              <w:rPr>
                <w:rFonts w:hint="default" w:ascii="Times New Roman" w:hAnsi="Times New Roman" w:cs="Times New Roman"/>
                <w:u w:val="single"/>
              </w:rPr>
              <w:t>县污水处理厂的透过液的量约为</w:t>
            </w:r>
            <w:r>
              <w:rPr>
                <w:rFonts w:hint="eastAsia" w:cs="Times New Roman"/>
                <w:u w:val="single"/>
                <w:lang w:val="en-US" w:eastAsia="zh-CN"/>
              </w:rPr>
              <w:t>14.56</w:t>
            </w:r>
            <w:r>
              <w:rPr>
                <w:rFonts w:hint="default" w:ascii="Times New Roman" w:hAnsi="Times New Roman" w:cs="Times New Roman"/>
                <w:u w:val="single"/>
              </w:rPr>
              <w:t>t/d</w:t>
            </w:r>
            <w:r>
              <w:rPr>
                <w:rFonts w:hint="eastAsia" w:cs="Times New Roman"/>
                <w:u w:val="single"/>
                <w:lang w:eastAsia="zh-CN"/>
              </w:rPr>
              <w:t>（</w:t>
            </w:r>
            <w:r>
              <w:rPr>
                <w:rFonts w:hint="eastAsia" w:cs="Times New Roman"/>
                <w:u w:val="single"/>
                <w:lang w:val="en-US" w:eastAsia="zh-CN"/>
              </w:rPr>
              <w:t>3991.50</w:t>
            </w:r>
            <w:r>
              <w:rPr>
                <w:rFonts w:hint="eastAsia"/>
                <w:u w:val="single"/>
                <w:lang w:val="en-US" w:eastAsia="zh-CN"/>
              </w:rPr>
              <w:t>t/a</w:t>
            </w:r>
            <w:r>
              <w:rPr>
                <w:rFonts w:hint="eastAsia" w:cs="Times New Roman"/>
                <w:u w:val="single"/>
                <w:lang w:eastAsia="zh-CN"/>
              </w:rPr>
              <w:t>）</w:t>
            </w:r>
            <w:r>
              <w:rPr>
                <w:rFonts w:hint="default" w:ascii="Times New Roman" w:hAnsi="Times New Roman" w:cs="Times New Roman"/>
                <w:u w:val="single"/>
              </w:rPr>
              <w:t>。</w:t>
            </w:r>
          </w:p>
          <w:p>
            <w:pPr>
              <w:pStyle w:val="43"/>
              <w:widowControl w:val="0"/>
              <w:rPr>
                <w:rFonts w:hint="default" w:ascii="Times New Roman" w:hAnsi="Times New Roman" w:cs="Times New Roman"/>
                <w:u w:val="single"/>
              </w:rPr>
            </w:pPr>
            <w:r>
              <w:rPr>
                <w:rFonts w:hint="default" w:ascii="Times New Roman" w:hAnsi="Times New Roman" w:cs="Times New Roman"/>
                <w:u w:val="single"/>
              </w:rPr>
              <w:t>表</w:t>
            </w:r>
            <w:r>
              <w:rPr>
                <w:rFonts w:hint="eastAsia" w:cs="Times New Roman"/>
                <w:u w:val="single"/>
                <w:lang w:val="en-US" w:eastAsia="zh-CN"/>
              </w:rPr>
              <w:t>4.2-12</w:t>
            </w:r>
            <w:r>
              <w:rPr>
                <w:rFonts w:hint="default" w:ascii="Times New Roman" w:hAnsi="Times New Roman" w:cs="Times New Roman"/>
                <w:u w:val="single"/>
              </w:rPr>
              <w:t>：</w:t>
            </w:r>
            <w:r>
              <w:rPr>
                <w:rFonts w:hint="eastAsia" w:cs="Times New Roman"/>
                <w:u w:val="single"/>
                <w:lang w:eastAsia="zh-CN"/>
              </w:rPr>
              <w:t>冲洗废水</w:t>
            </w:r>
            <w:r>
              <w:rPr>
                <w:rFonts w:hint="eastAsia" w:cs="Times New Roman"/>
                <w:u w:val="single"/>
                <w:lang w:val="en-US" w:eastAsia="zh-CN"/>
              </w:rPr>
              <w:t>渗滤液</w:t>
            </w:r>
            <w:r>
              <w:rPr>
                <w:rFonts w:hint="default" w:ascii="Times New Roman" w:hAnsi="Times New Roman" w:cs="Times New Roman"/>
                <w:u w:val="single"/>
              </w:rPr>
              <w:t>主要污染物排放浓度及排放量</w:t>
            </w:r>
          </w:p>
          <w:tbl>
            <w:tblPr>
              <w:tblStyle w:val="31"/>
              <w:tblW w:w="4923"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11"/>
              <w:gridCol w:w="1821"/>
              <w:gridCol w:w="1072"/>
              <w:gridCol w:w="1240"/>
              <w:gridCol w:w="1240"/>
              <w:gridCol w:w="12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9" w:hRule="atLeast"/>
                <w:jc w:val="center"/>
              </w:trPr>
              <w:tc>
                <w:tcPr>
                  <w:tcW w:w="2196" w:type="pct"/>
                  <w:gridSpan w:val="2"/>
                  <w:tcBorders>
                    <w:tl2br w:val="nil"/>
                    <w:tr2bl w:val="nil"/>
                  </w:tcBorders>
                  <w:noWrap w:val="0"/>
                  <w:vAlign w:val="center"/>
                </w:tcPr>
                <w:p>
                  <w:pPr>
                    <w:pStyle w:val="65"/>
                    <w:rPr>
                      <w:rFonts w:hint="default" w:ascii="Times New Roman" w:hAnsi="Times New Roman" w:cs="Times New Roman"/>
                      <w:b/>
                      <w:bCs/>
                      <w:u w:val="single"/>
                    </w:rPr>
                  </w:pPr>
                  <w:r>
                    <w:rPr>
                      <w:rFonts w:hint="default" w:ascii="Times New Roman" w:hAnsi="Times New Roman" w:cs="Times New Roman"/>
                      <w:b/>
                      <w:bCs/>
                      <w:u w:val="single"/>
                    </w:rPr>
                    <w:t>项目名称</w:t>
                  </w:r>
                </w:p>
              </w:tc>
              <w:tc>
                <w:tcPr>
                  <w:tcW w:w="630" w:type="pct"/>
                  <w:tcBorders>
                    <w:tl2br w:val="nil"/>
                    <w:tr2bl w:val="nil"/>
                  </w:tcBorders>
                  <w:noWrap w:val="0"/>
                  <w:vAlign w:val="center"/>
                </w:tcPr>
                <w:p>
                  <w:pPr>
                    <w:pStyle w:val="65"/>
                    <w:rPr>
                      <w:rFonts w:hint="default" w:ascii="Times New Roman" w:hAnsi="Times New Roman" w:cs="Times New Roman"/>
                      <w:b/>
                      <w:bCs/>
                      <w:u w:val="single"/>
                    </w:rPr>
                  </w:pPr>
                  <w:r>
                    <w:rPr>
                      <w:rFonts w:hint="default" w:ascii="Times New Roman" w:hAnsi="Times New Roman" w:cs="Times New Roman"/>
                      <w:b/>
                      <w:bCs/>
                      <w:u w:val="single"/>
                    </w:rPr>
                    <w:t>COD</w:t>
                  </w:r>
                </w:p>
              </w:tc>
              <w:tc>
                <w:tcPr>
                  <w:tcW w:w="729" w:type="pct"/>
                  <w:tcBorders>
                    <w:tl2br w:val="nil"/>
                    <w:tr2bl w:val="nil"/>
                  </w:tcBorders>
                  <w:noWrap w:val="0"/>
                  <w:vAlign w:val="center"/>
                </w:tcPr>
                <w:p>
                  <w:pPr>
                    <w:pStyle w:val="65"/>
                    <w:rPr>
                      <w:rFonts w:hint="default" w:ascii="Times New Roman" w:hAnsi="Times New Roman" w:cs="Times New Roman"/>
                      <w:b/>
                      <w:bCs/>
                      <w:u w:val="single"/>
                    </w:rPr>
                  </w:pPr>
                  <w:r>
                    <w:rPr>
                      <w:rFonts w:hint="default" w:ascii="Times New Roman" w:hAnsi="Times New Roman" w:cs="Times New Roman"/>
                      <w:b/>
                      <w:bCs/>
                      <w:u w:val="single"/>
                    </w:rPr>
                    <w:t>BOD</w:t>
                  </w:r>
                  <w:r>
                    <w:rPr>
                      <w:rFonts w:hint="default" w:ascii="Times New Roman" w:hAnsi="Times New Roman" w:cs="Times New Roman"/>
                      <w:b/>
                      <w:bCs/>
                      <w:u w:val="single"/>
                      <w:vertAlign w:val="subscript"/>
                    </w:rPr>
                    <w:t>5</w:t>
                  </w:r>
                </w:p>
              </w:tc>
              <w:tc>
                <w:tcPr>
                  <w:tcW w:w="729" w:type="pct"/>
                  <w:tcBorders>
                    <w:tl2br w:val="nil"/>
                    <w:tr2bl w:val="nil"/>
                  </w:tcBorders>
                  <w:noWrap w:val="0"/>
                  <w:vAlign w:val="center"/>
                </w:tcPr>
                <w:p>
                  <w:pPr>
                    <w:pStyle w:val="65"/>
                    <w:rPr>
                      <w:rFonts w:hint="default" w:ascii="Times New Roman" w:hAnsi="Times New Roman" w:cs="Times New Roman"/>
                      <w:b/>
                      <w:bCs/>
                      <w:u w:val="single"/>
                    </w:rPr>
                  </w:pPr>
                  <w:r>
                    <w:rPr>
                      <w:rFonts w:hint="default" w:ascii="Times New Roman" w:hAnsi="Times New Roman" w:cs="Times New Roman"/>
                      <w:b/>
                      <w:bCs/>
                      <w:u w:val="single"/>
                    </w:rPr>
                    <w:t>SS</w:t>
                  </w:r>
                </w:p>
              </w:tc>
              <w:tc>
                <w:tcPr>
                  <w:tcW w:w="713" w:type="pct"/>
                  <w:tcBorders>
                    <w:tl2br w:val="nil"/>
                    <w:tr2bl w:val="nil"/>
                  </w:tcBorders>
                  <w:noWrap w:val="0"/>
                  <w:vAlign w:val="top"/>
                </w:tcPr>
                <w:p>
                  <w:pPr>
                    <w:pStyle w:val="65"/>
                    <w:rPr>
                      <w:rFonts w:hint="default" w:ascii="Times New Roman" w:hAnsi="Times New Roman" w:cs="Times New Roman"/>
                      <w:b/>
                      <w:bCs/>
                      <w:u w:val="single"/>
                    </w:rPr>
                  </w:pPr>
                  <w:r>
                    <w:rPr>
                      <w:rFonts w:hint="default" w:ascii="Times New Roman" w:hAnsi="Times New Roman" w:cs="Times New Roman"/>
                      <w:b/>
                      <w:bCs/>
                      <w:u w:val="single"/>
                    </w:rPr>
                    <w:t>氨氮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1124" w:type="pct"/>
                  <w:tcBorders>
                    <w:tl2br w:val="nil"/>
                    <w:tr2bl w:val="nil"/>
                  </w:tcBorders>
                  <w:noWrap w:val="0"/>
                  <w:vAlign w:val="center"/>
                </w:tcPr>
                <w:p>
                  <w:pPr>
                    <w:pStyle w:val="65"/>
                    <w:rPr>
                      <w:rFonts w:hint="default" w:ascii="Times New Roman" w:hAnsi="Times New Roman" w:cs="Times New Roman"/>
                      <w:u w:val="single"/>
                    </w:rPr>
                  </w:pPr>
                  <w:r>
                    <w:rPr>
                      <w:rFonts w:hint="default" w:ascii="Times New Roman" w:hAnsi="Times New Roman" w:cs="Times New Roman"/>
                      <w:u w:val="single"/>
                    </w:rPr>
                    <w:t>处理后废水（</w:t>
                  </w:r>
                  <w:r>
                    <w:rPr>
                      <w:rFonts w:hint="eastAsia" w:cs="Times New Roman"/>
                      <w:u w:val="single"/>
                      <w:lang w:val="en-US" w:eastAsia="zh-CN"/>
                    </w:rPr>
                    <w:t>3991.50</w:t>
                  </w:r>
                  <w:r>
                    <w:rPr>
                      <w:rFonts w:hint="default" w:ascii="Times New Roman" w:hAnsi="Times New Roman" w:cs="Times New Roman"/>
                      <w:u w:val="single"/>
                    </w:rPr>
                    <w:t>t/</w:t>
                  </w:r>
                  <w:r>
                    <w:rPr>
                      <w:rFonts w:hint="eastAsia" w:cs="Times New Roman"/>
                      <w:u w:val="single"/>
                      <w:lang w:val="en-US" w:eastAsia="zh-CN"/>
                    </w:rPr>
                    <w:t>d</w:t>
                  </w:r>
                  <w:r>
                    <w:rPr>
                      <w:rFonts w:hint="default" w:ascii="Times New Roman" w:hAnsi="Times New Roman" w:cs="Times New Roman"/>
                      <w:u w:val="single"/>
                    </w:rPr>
                    <w:t>）</w:t>
                  </w:r>
                </w:p>
              </w:tc>
              <w:tc>
                <w:tcPr>
                  <w:tcW w:w="1071" w:type="pct"/>
                  <w:tcBorders>
                    <w:tl2br w:val="nil"/>
                    <w:tr2bl w:val="nil"/>
                  </w:tcBorders>
                  <w:noWrap w:val="0"/>
                  <w:vAlign w:val="center"/>
                </w:tcPr>
                <w:p>
                  <w:pPr>
                    <w:pStyle w:val="65"/>
                    <w:rPr>
                      <w:rFonts w:hint="default" w:ascii="Times New Roman" w:hAnsi="Times New Roman" w:cs="Times New Roman"/>
                      <w:u w:val="single"/>
                    </w:rPr>
                  </w:pPr>
                  <w:r>
                    <w:rPr>
                      <w:rFonts w:hint="default" w:ascii="Times New Roman" w:hAnsi="Times New Roman" w:cs="Times New Roman"/>
                      <w:u w:val="single"/>
                    </w:rPr>
                    <w:t>浓度（mg/L）</w:t>
                  </w:r>
                </w:p>
              </w:tc>
              <w:tc>
                <w:tcPr>
                  <w:tcW w:w="630" w:type="pct"/>
                  <w:tcBorders>
                    <w:tl2br w:val="nil"/>
                    <w:tr2bl w:val="nil"/>
                  </w:tcBorders>
                  <w:noWrap w:val="0"/>
                  <w:vAlign w:val="center"/>
                </w:tcPr>
                <w:p>
                  <w:pPr>
                    <w:pStyle w:val="65"/>
                    <w:rPr>
                      <w:rFonts w:hint="default" w:ascii="Times New Roman" w:hAnsi="Times New Roman" w:eastAsia="宋体" w:cs="Times New Roman"/>
                      <w:u w:val="single"/>
                      <w:lang w:val="en-US" w:eastAsia="zh-CN"/>
                    </w:rPr>
                  </w:pPr>
                  <w:r>
                    <w:rPr>
                      <w:rFonts w:hint="eastAsia" w:cs="Times New Roman"/>
                      <w:u w:val="single"/>
                      <w:lang w:val="en-US" w:eastAsia="zh-CN"/>
                    </w:rPr>
                    <w:t>100</w:t>
                  </w:r>
                </w:p>
              </w:tc>
              <w:tc>
                <w:tcPr>
                  <w:tcW w:w="729" w:type="pct"/>
                  <w:tcBorders>
                    <w:tl2br w:val="nil"/>
                    <w:tr2bl w:val="nil"/>
                  </w:tcBorders>
                  <w:noWrap w:val="0"/>
                  <w:vAlign w:val="center"/>
                </w:tcPr>
                <w:p>
                  <w:pPr>
                    <w:pStyle w:val="65"/>
                    <w:rPr>
                      <w:rFonts w:hint="default" w:ascii="Times New Roman" w:hAnsi="Times New Roman" w:eastAsia="宋体" w:cs="Times New Roman"/>
                      <w:u w:val="single"/>
                      <w:lang w:val="en-US" w:eastAsia="zh-CN"/>
                    </w:rPr>
                  </w:pPr>
                  <w:r>
                    <w:rPr>
                      <w:rFonts w:hint="eastAsia" w:cs="Times New Roman"/>
                      <w:u w:val="single"/>
                      <w:lang w:val="en-US" w:eastAsia="zh-CN"/>
                    </w:rPr>
                    <w:t>30</w:t>
                  </w:r>
                </w:p>
              </w:tc>
              <w:tc>
                <w:tcPr>
                  <w:tcW w:w="729" w:type="pct"/>
                  <w:tcBorders>
                    <w:tl2br w:val="nil"/>
                    <w:tr2bl w:val="nil"/>
                  </w:tcBorders>
                  <w:noWrap w:val="0"/>
                  <w:vAlign w:val="center"/>
                </w:tcPr>
                <w:p>
                  <w:pPr>
                    <w:pStyle w:val="65"/>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30</w:t>
                  </w:r>
                </w:p>
              </w:tc>
              <w:tc>
                <w:tcPr>
                  <w:tcW w:w="713" w:type="pct"/>
                  <w:tcBorders>
                    <w:tl2br w:val="nil"/>
                    <w:tr2bl w:val="nil"/>
                  </w:tcBorders>
                  <w:noWrap w:val="0"/>
                  <w:vAlign w:val="center"/>
                </w:tcPr>
                <w:p>
                  <w:pPr>
                    <w:pStyle w:val="65"/>
                    <w:rPr>
                      <w:rFonts w:hint="default" w:ascii="Times New Roman" w:hAnsi="Times New Roman" w:eastAsia="宋体" w:cs="Times New Roman"/>
                      <w:u w:val="single"/>
                      <w:lang w:val="en-US" w:eastAsia="zh-CN"/>
                    </w:rPr>
                  </w:pPr>
                  <w:r>
                    <w:rPr>
                      <w:rFonts w:hint="eastAsia" w:cs="Times New Roman"/>
                      <w:u w:val="singl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8" w:hRule="atLeast"/>
                <w:jc w:val="center"/>
              </w:trPr>
              <w:tc>
                <w:tcPr>
                  <w:tcW w:w="2196" w:type="pct"/>
                  <w:gridSpan w:val="2"/>
                  <w:tcBorders>
                    <w:tl2br w:val="nil"/>
                    <w:tr2bl w:val="nil"/>
                  </w:tcBorders>
                  <w:noWrap w:val="0"/>
                  <w:vAlign w:val="center"/>
                </w:tcPr>
                <w:p>
                  <w:pPr>
                    <w:pStyle w:val="65"/>
                    <w:rPr>
                      <w:rFonts w:hint="default" w:ascii="Times New Roman" w:hAnsi="Times New Roman" w:cs="Times New Roman"/>
                      <w:u w:val="single"/>
                    </w:rPr>
                  </w:pPr>
                  <w:r>
                    <w:rPr>
                      <w:rFonts w:hint="default" w:ascii="Times New Roman" w:hAnsi="Times New Roman" w:cs="Times New Roman"/>
                      <w:u w:val="single"/>
                    </w:rPr>
                    <w:t>《生活垃圾填埋污染控制标准》(GB16889-97)表2</w:t>
                  </w:r>
                </w:p>
              </w:tc>
              <w:tc>
                <w:tcPr>
                  <w:tcW w:w="630" w:type="pct"/>
                  <w:tcBorders>
                    <w:tl2br w:val="nil"/>
                    <w:tr2bl w:val="nil"/>
                  </w:tcBorders>
                  <w:noWrap w:val="0"/>
                  <w:vAlign w:val="center"/>
                </w:tcPr>
                <w:p>
                  <w:pPr>
                    <w:pStyle w:val="65"/>
                    <w:ind w:firstLine="0" w:firstLineChars="0"/>
                    <w:rPr>
                      <w:rFonts w:hint="default" w:ascii="Times New Roman" w:hAnsi="Times New Roman" w:cs="Times New Roman"/>
                      <w:u w:val="single"/>
                    </w:rPr>
                  </w:pPr>
                  <w:r>
                    <w:rPr>
                      <w:rFonts w:hint="default" w:ascii="Times New Roman" w:hAnsi="Times New Roman" w:cs="Times New Roman"/>
                      <w:u w:val="single"/>
                      <w:lang w:val="en-US" w:eastAsia="zh-CN"/>
                    </w:rPr>
                    <w:t>100</w:t>
                  </w:r>
                </w:p>
              </w:tc>
              <w:tc>
                <w:tcPr>
                  <w:tcW w:w="729" w:type="pct"/>
                  <w:tcBorders>
                    <w:tl2br w:val="nil"/>
                    <w:tr2bl w:val="nil"/>
                  </w:tcBorders>
                  <w:noWrap w:val="0"/>
                  <w:vAlign w:val="center"/>
                </w:tcPr>
                <w:p>
                  <w:pPr>
                    <w:pStyle w:val="65"/>
                    <w:ind w:firstLine="0" w:firstLineChars="0"/>
                    <w:rPr>
                      <w:rFonts w:hint="default" w:ascii="Times New Roman" w:hAnsi="Times New Roman" w:cs="Times New Roman"/>
                      <w:u w:val="single"/>
                    </w:rPr>
                  </w:pPr>
                  <w:r>
                    <w:rPr>
                      <w:rFonts w:hint="default" w:ascii="Times New Roman" w:hAnsi="Times New Roman" w:cs="Times New Roman"/>
                      <w:u w:val="single"/>
                      <w:lang w:val="en-US" w:eastAsia="zh-CN"/>
                    </w:rPr>
                    <w:t>30</w:t>
                  </w:r>
                </w:p>
              </w:tc>
              <w:tc>
                <w:tcPr>
                  <w:tcW w:w="729" w:type="pct"/>
                  <w:tcBorders>
                    <w:tl2br w:val="nil"/>
                    <w:tr2bl w:val="nil"/>
                  </w:tcBorders>
                  <w:noWrap w:val="0"/>
                  <w:vAlign w:val="center"/>
                </w:tcPr>
                <w:p>
                  <w:pPr>
                    <w:pStyle w:val="65"/>
                    <w:ind w:firstLine="0" w:firstLineChars="0"/>
                    <w:rPr>
                      <w:rFonts w:hint="default" w:ascii="Times New Roman" w:hAnsi="Times New Roman" w:cs="Times New Roman"/>
                      <w:u w:val="single"/>
                    </w:rPr>
                  </w:pPr>
                  <w:r>
                    <w:rPr>
                      <w:rFonts w:hint="default" w:ascii="Times New Roman" w:hAnsi="Times New Roman" w:cs="Times New Roman"/>
                      <w:u w:val="single"/>
                      <w:lang w:val="en-US" w:eastAsia="zh-CN"/>
                    </w:rPr>
                    <w:t>30</w:t>
                  </w:r>
                </w:p>
              </w:tc>
              <w:tc>
                <w:tcPr>
                  <w:tcW w:w="713" w:type="pct"/>
                  <w:tcBorders>
                    <w:tl2br w:val="nil"/>
                    <w:tr2bl w:val="nil"/>
                  </w:tcBorders>
                  <w:noWrap w:val="0"/>
                  <w:vAlign w:val="center"/>
                </w:tcPr>
                <w:p>
                  <w:pPr>
                    <w:pStyle w:val="65"/>
                    <w:ind w:firstLine="0" w:firstLineChars="0"/>
                    <w:rPr>
                      <w:rFonts w:hint="default" w:ascii="Times New Roman" w:hAnsi="Times New Roman" w:cs="Times New Roman"/>
                      <w:u w:val="single"/>
                    </w:rPr>
                  </w:pPr>
                  <w:r>
                    <w:rPr>
                      <w:rFonts w:hint="default" w:ascii="Times New Roman" w:hAnsi="Times New Roman" w:cs="Times New Roman"/>
                      <w:u w:val="singl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8" w:hRule="atLeast"/>
                <w:jc w:val="center"/>
              </w:trPr>
              <w:tc>
                <w:tcPr>
                  <w:tcW w:w="2196" w:type="pct"/>
                  <w:gridSpan w:val="2"/>
                  <w:tcBorders>
                    <w:tl2br w:val="nil"/>
                    <w:tr2bl w:val="nil"/>
                  </w:tcBorders>
                  <w:noWrap w:val="0"/>
                  <w:vAlign w:val="center"/>
                </w:tcPr>
                <w:p>
                  <w:pPr>
                    <w:pStyle w:val="65"/>
                    <w:rPr>
                      <w:rFonts w:hint="eastAsia" w:ascii="Times New Roman" w:hAnsi="Times New Roman" w:eastAsia="宋体" w:cs="Times New Roman"/>
                      <w:u w:val="single"/>
                      <w:lang w:eastAsia="zh-CN"/>
                    </w:rPr>
                  </w:pPr>
                  <w:r>
                    <w:rPr>
                      <w:rFonts w:hint="eastAsia"/>
                      <w:u w:val="single"/>
                      <w:lang w:eastAsia="zh-CN"/>
                    </w:rPr>
                    <w:t>排放量（</w:t>
                  </w:r>
                  <w:r>
                    <w:rPr>
                      <w:rFonts w:hint="eastAsia"/>
                      <w:u w:val="single"/>
                      <w:lang w:val="en-US" w:eastAsia="zh-CN"/>
                    </w:rPr>
                    <w:t>t/a</w:t>
                  </w:r>
                  <w:r>
                    <w:rPr>
                      <w:rFonts w:hint="eastAsia"/>
                      <w:u w:val="single"/>
                      <w:lang w:eastAsia="zh-CN"/>
                    </w:rPr>
                    <w:t>）</w:t>
                  </w:r>
                </w:p>
              </w:tc>
              <w:tc>
                <w:tcPr>
                  <w:tcW w:w="630" w:type="pct"/>
                  <w:tcBorders>
                    <w:tl2br w:val="nil"/>
                    <w:tr2bl w:val="nil"/>
                  </w:tcBorders>
                  <w:noWrap w:val="0"/>
                  <w:vAlign w:val="center"/>
                </w:tcPr>
                <w:p>
                  <w:pPr>
                    <w:pStyle w:val="65"/>
                    <w:ind w:firstLine="0" w:firstLineChars="0"/>
                    <w:rPr>
                      <w:rFonts w:hint="default" w:ascii="Times New Roman" w:hAnsi="Times New Roman" w:cs="Times New Roman"/>
                      <w:u w:val="single"/>
                      <w:lang w:val="en-US" w:eastAsia="zh-CN"/>
                    </w:rPr>
                  </w:pPr>
                  <w:r>
                    <w:rPr>
                      <w:rFonts w:hint="eastAsia" w:cs="Times New Roman"/>
                      <w:u w:val="single"/>
                      <w:lang w:val="en-US" w:eastAsia="zh-CN"/>
                    </w:rPr>
                    <w:t>0.40</w:t>
                  </w:r>
                </w:p>
              </w:tc>
              <w:tc>
                <w:tcPr>
                  <w:tcW w:w="729" w:type="pct"/>
                  <w:tcBorders>
                    <w:tl2br w:val="nil"/>
                    <w:tr2bl w:val="nil"/>
                  </w:tcBorders>
                  <w:noWrap w:val="0"/>
                  <w:vAlign w:val="center"/>
                </w:tcPr>
                <w:p>
                  <w:pPr>
                    <w:pStyle w:val="65"/>
                    <w:ind w:firstLine="0" w:firstLineChars="0"/>
                    <w:rPr>
                      <w:rFonts w:hint="default" w:ascii="Times New Roman" w:hAnsi="Times New Roman" w:cs="Times New Roman"/>
                      <w:u w:val="single"/>
                      <w:lang w:val="en-US" w:eastAsia="zh-CN"/>
                    </w:rPr>
                  </w:pPr>
                  <w:r>
                    <w:rPr>
                      <w:rFonts w:hint="eastAsia" w:cs="Times New Roman"/>
                      <w:u w:val="single"/>
                      <w:lang w:val="en-US" w:eastAsia="zh-CN"/>
                    </w:rPr>
                    <w:t>0.12</w:t>
                  </w:r>
                </w:p>
              </w:tc>
              <w:tc>
                <w:tcPr>
                  <w:tcW w:w="729" w:type="pct"/>
                  <w:tcBorders>
                    <w:tl2br w:val="nil"/>
                    <w:tr2bl w:val="nil"/>
                  </w:tcBorders>
                  <w:noWrap w:val="0"/>
                  <w:vAlign w:val="center"/>
                </w:tcPr>
                <w:p>
                  <w:pPr>
                    <w:pStyle w:val="65"/>
                    <w:ind w:firstLine="0" w:firstLineChars="0"/>
                    <w:rPr>
                      <w:rFonts w:hint="default" w:ascii="Times New Roman" w:hAnsi="Times New Roman" w:cs="Times New Roman"/>
                      <w:u w:val="single"/>
                      <w:lang w:val="en-US" w:eastAsia="zh-CN"/>
                    </w:rPr>
                  </w:pPr>
                  <w:r>
                    <w:rPr>
                      <w:rFonts w:hint="eastAsia" w:cs="Times New Roman"/>
                      <w:u w:val="single"/>
                      <w:lang w:val="en-US" w:eastAsia="zh-CN"/>
                    </w:rPr>
                    <w:t>0.12</w:t>
                  </w:r>
                </w:p>
              </w:tc>
              <w:tc>
                <w:tcPr>
                  <w:tcW w:w="713" w:type="pct"/>
                  <w:tcBorders>
                    <w:tl2br w:val="nil"/>
                    <w:tr2bl w:val="nil"/>
                  </w:tcBorders>
                  <w:noWrap w:val="0"/>
                  <w:vAlign w:val="center"/>
                </w:tcPr>
                <w:p>
                  <w:pPr>
                    <w:pStyle w:val="65"/>
                    <w:ind w:firstLine="0" w:firstLineChars="0"/>
                    <w:rPr>
                      <w:rFonts w:hint="default" w:ascii="Times New Roman" w:hAnsi="Times New Roman" w:cs="Times New Roman"/>
                      <w:u w:val="single"/>
                      <w:lang w:val="en-US" w:eastAsia="zh-CN"/>
                    </w:rPr>
                  </w:pPr>
                  <w:r>
                    <w:rPr>
                      <w:rFonts w:hint="eastAsia" w:cs="Times New Roman"/>
                      <w:u w:val="single"/>
                      <w:lang w:val="en-US" w:eastAsia="zh-CN"/>
                    </w:rPr>
                    <w:t>0.10</w:t>
                  </w:r>
                </w:p>
              </w:tc>
            </w:tr>
          </w:tbl>
          <w:p>
            <w:pPr>
              <w:bidi w:val="0"/>
              <w:rPr>
                <w:rFonts w:hint="eastAsia" w:cs="Times New Roman"/>
                <w:u w:val="single"/>
                <w:lang w:eastAsia="zh-CN"/>
              </w:rPr>
            </w:pPr>
            <w:r>
              <w:rPr>
                <w:rFonts w:hint="default" w:ascii="Times New Roman" w:hAnsi="Times New Roman" w:cs="Times New Roman"/>
                <w:u w:val="single"/>
                <w:lang w:eastAsia="zh-CN"/>
              </w:rPr>
              <w:t>⑤</w:t>
            </w:r>
            <w:r>
              <w:rPr>
                <w:rFonts w:hint="eastAsia" w:cs="Times New Roman"/>
                <w:u w:val="single"/>
                <w:lang w:eastAsia="zh-CN"/>
              </w:rPr>
              <w:t>初期雨水</w:t>
            </w:r>
          </w:p>
          <w:p>
            <w:pPr>
              <w:pStyle w:val="2"/>
              <w:rPr>
                <w:rFonts w:hint="default"/>
                <w:u w:val="single"/>
                <w:lang w:eastAsia="zh-CN"/>
              </w:rPr>
            </w:pPr>
            <w:r>
              <w:rPr>
                <w:rFonts w:hint="eastAsia" w:cs="Times New Roman"/>
                <w:u w:val="single"/>
                <w:lang w:eastAsia="zh-CN"/>
              </w:rPr>
              <w:t>初期雨水经雨水收集管道收集后暂存于雨水收集池，后期回用于场地洒水降尘。</w:t>
            </w:r>
          </w:p>
          <w:p>
            <w:pPr>
              <w:bidi w:val="0"/>
              <w:rPr>
                <w:rFonts w:hint="default" w:ascii="Times New Roman" w:hAnsi="Times New Roman" w:cs="Times New Roman"/>
                <w:u w:val="single"/>
                <w:lang w:val="en-US" w:eastAsia="zh-CN"/>
              </w:rPr>
            </w:pPr>
            <w:r>
              <w:rPr>
                <w:rFonts w:hint="default" w:ascii="Times New Roman" w:hAnsi="Times New Roman" w:eastAsia="宋体" w:cs="Times New Roman"/>
                <w:u w:val="single"/>
                <w:lang w:val="en-US" w:eastAsia="zh-CN"/>
              </w:rPr>
              <w:t>⑥</w:t>
            </w:r>
            <w:r>
              <w:rPr>
                <w:rFonts w:hint="eastAsia" w:cs="Times New Roman"/>
                <w:u w:val="single"/>
                <w:lang w:val="en-US" w:eastAsia="zh-CN"/>
              </w:rPr>
              <w:t>负压除尘除臭</w:t>
            </w:r>
            <w:r>
              <w:rPr>
                <w:rFonts w:hint="default" w:ascii="Times New Roman" w:hAnsi="Times New Roman" w:cs="Times New Roman"/>
                <w:u w:val="single"/>
                <w:lang w:val="en-US" w:eastAsia="zh-CN"/>
              </w:rPr>
              <w:t>废水</w:t>
            </w:r>
          </w:p>
          <w:p>
            <w:pPr>
              <w:pStyle w:val="29"/>
              <w:spacing w:line="360" w:lineRule="auto"/>
              <w:ind w:firstLine="480" w:firstLineChars="200"/>
              <w:rPr>
                <w:rFonts w:hint="default" w:ascii="Times New Roman" w:hAnsi="Times New Roman" w:cs="Times New Roman"/>
                <w:color w:val="000000"/>
                <w:sz w:val="24"/>
                <w:szCs w:val="24"/>
                <w:u w:val="single"/>
              </w:rPr>
            </w:pPr>
            <w:r>
              <w:rPr>
                <w:rFonts w:hint="default" w:ascii="Times New Roman" w:hAnsi="Times New Roman" w:cs="Times New Roman"/>
                <w:color w:val="000000"/>
                <w:sz w:val="24"/>
                <w:szCs w:val="24"/>
                <w:u w:val="single"/>
              </w:rPr>
              <w:t>经</w:t>
            </w:r>
            <w:r>
              <w:rPr>
                <w:rFonts w:hint="default" w:ascii="Times New Roman" w:hAnsi="Times New Roman" w:cs="Times New Roman"/>
                <w:color w:val="000000"/>
                <w:sz w:val="24"/>
                <w:szCs w:val="24"/>
                <w:u w:val="single"/>
                <w:lang w:val="en-US" w:eastAsia="zh-CN"/>
              </w:rPr>
              <w:t>设备自带的1</w:t>
            </w:r>
            <w:r>
              <w:rPr>
                <w:rFonts w:hint="default" w:ascii="Times New Roman" w:hAnsi="Times New Roman" w:cs="Times New Roman"/>
                <w:color w:val="000000"/>
                <w:sz w:val="24"/>
                <w:szCs w:val="24"/>
                <w:u w:val="single"/>
              </w:rPr>
              <w:t>m</w:t>
            </w:r>
            <w:r>
              <w:rPr>
                <w:rFonts w:hint="default" w:ascii="Times New Roman" w:hAnsi="Times New Roman" w:cs="Times New Roman"/>
                <w:color w:val="000000"/>
                <w:sz w:val="24"/>
                <w:szCs w:val="24"/>
                <w:u w:val="single"/>
                <w:vertAlign w:val="superscript"/>
              </w:rPr>
              <w:t>3</w:t>
            </w:r>
            <w:r>
              <w:rPr>
                <w:rFonts w:hint="default" w:ascii="Times New Roman" w:hAnsi="Times New Roman" w:cs="Times New Roman"/>
                <w:color w:val="000000"/>
                <w:sz w:val="24"/>
                <w:szCs w:val="24"/>
                <w:u w:val="single"/>
              </w:rPr>
              <w:t>的循环</w:t>
            </w:r>
            <w:r>
              <w:rPr>
                <w:rFonts w:hint="default" w:ascii="Times New Roman" w:hAnsi="Times New Roman" w:cs="Times New Roman"/>
                <w:color w:val="000000"/>
                <w:sz w:val="24"/>
                <w:szCs w:val="24"/>
                <w:u w:val="single"/>
                <w:lang w:val="en-US" w:eastAsia="zh-CN"/>
              </w:rPr>
              <w:t>池</w:t>
            </w:r>
            <w:r>
              <w:rPr>
                <w:rFonts w:hint="default" w:ascii="Times New Roman" w:hAnsi="Times New Roman" w:cs="Times New Roman"/>
                <w:color w:val="000000"/>
                <w:sz w:val="24"/>
                <w:szCs w:val="24"/>
                <w:u w:val="single"/>
              </w:rPr>
              <w:t>收集后循环使用，损耗按20%计算，定期补充新鲜水</w:t>
            </w:r>
            <w:r>
              <w:rPr>
                <w:rFonts w:hint="eastAsia" w:cs="Times New Roman"/>
                <w:color w:val="000000"/>
                <w:sz w:val="24"/>
                <w:szCs w:val="24"/>
                <w:u w:val="single"/>
                <w:lang w:eastAsia="zh-CN"/>
              </w:rPr>
              <w:t>，</w:t>
            </w:r>
            <w:r>
              <w:rPr>
                <w:rFonts w:hint="default" w:ascii="Times New Roman" w:hAnsi="Times New Roman" w:cs="Times New Roman"/>
                <w:color w:val="000000"/>
                <w:szCs w:val="24"/>
                <w:u w:val="single"/>
                <w:lang w:val="en-US" w:eastAsia="zh-CN"/>
              </w:rPr>
              <w:t>无废水产生</w:t>
            </w:r>
            <w:r>
              <w:rPr>
                <w:rFonts w:hint="default" w:ascii="Times New Roman" w:hAnsi="Times New Roman" w:cs="Times New Roman"/>
                <w:color w:val="000000"/>
                <w:sz w:val="24"/>
                <w:szCs w:val="24"/>
                <w:u w:val="single"/>
              </w:rPr>
              <w:t>。</w:t>
            </w:r>
          </w:p>
          <w:p>
            <w:pPr>
              <w:bidi w:val="0"/>
              <w:rPr>
                <w:rFonts w:hint="eastAsia" w:cs="Times New Roman"/>
                <w:u w:val="single"/>
                <w:lang w:val="en-US" w:eastAsia="zh-CN"/>
              </w:rPr>
            </w:pPr>
            <w:r>
              <w:rPr>
                <w:rFonts w:hint="eastAsia" w:cs="Times New Roman"/>
                <w:u w:val="single"/>
                <w:lang w:val="en-US" w:eastAsia="zh-CN"/>
              </w:rPr>
              <w:t>⑦空间异味喷淋系统废水</w:t>
            </w:r>
          </w:p>
          <w:p>
            <w:pPr>
              <w:bidi w:val="0"/>
              <w:rPr>
                <w:rFonts w:hint="default" w:ascii="Times New Roman" w:hAnsi="Times New Roman" w:eastAsia="宋体" w:cs="Times New Roman"/>
                <w:u w:val="single"/>
                <w:lang w:val="en-US" w:eastAsia="zh-CN"/>
              </w:rPr>
            </w:pPr>
            <w:r>
              <w:rPr>
                <w:rFonts w:hint="eastAsia" w:cs="Times New Roman"/>
                <w:u w:val="single"/>
                <w:lang w:val="en-US" w:eastAsia="zh-CN"/>
              </w:rPr>
              <w:t>植物液喷淋过程中会损耗，无喷淋废水产生。</w:t>
            </w:r>
          </w:p>
          <w:p>
            <w:pPr>
              <w:bidi w:val="0"/>
              <w:rPr>
                <w:rFonts w:hint="default" w:ascii="Times New Roman" w:hAnsi="Times New Roman" w:cs="Times New Roman"/>
                <w:u w:val="single"/>
                <w:lang w:val="en-US" w:eastAsia="zh-CN"/>
              </w:rPr>
            </w:pPr>
            <w:r>
              <w:rPr>
                <w:rFonts w:hint="eastAsia" w:cs="Times New Roman"/>
                <w:u w:val="single"/>
                <w:lang w:val="en-US" w:eastAsia="zh-CN"/>
              </w:rPr>
              <w:t>⑧</w:t>
            </w:r>
            <w:r>
              <w:rPr>
                <w:rFonts w:hint="default" w:ascii="Times New Roman" w:hAnsi="Times New Roman" w:cs="Times New Roman"/>
                <w:u w:val="single"/>
                <w:lang w:val="en-US" w:eastAsia="zh-CN"/>
              </w:rPr>
              <w:t>绿化用水</w:t>
            </w:r>
          </w:p>
          <w:p>
            <w:pPr>
              <w:bidi w:val="0"/>
              <w:rPr>
                <w:rFonts w:hint="eastAsia"/>
                <w:u w:val="single"/>
              </w:rPr>
            </w:pPr>
            <w:r>
              <w:rPr>
                <w:rFonts w:hint="default"/>
                <w:u w:val="single"/>
                <w:lang w:val="en-US" w:eastAsia="zh-CN"/>
              </w:rPr>
              <w:t>根据</w:t>
            </w:r>
            <w:r>
              <w:rPr>
                <w:rFonts w:hint="eastAsia"/>
                <w:u w:val="single"/>
                <w:lang w:val="en-US" w:eastAsia="zh-CN"/>
              </w:rPr>
              <w:t>前文供水量计算，</w:t>
            </w:r>
            <w:r>
              <w:rPr>
                <w:rFonts w:hint="eastAsia"/>
                <w:u w:val="single"/>
              </w:rPr>
              <w:t>本项目绿化用水量为</w:t>
            </w:r>
            <w:r>
              <w:rPr>
                <w:rFonts w:hint="eastAsia"/>
                <w:u w:val="single"/>
                <w:lang w:val="en-US" w:eastAsia="zh-CN"/>
              </w:rPr>
              <w:t>0.81</w:t>
            </w:r>
            <w:r>
              <w:rPr>
                <w:u w:val="single"/>
              </w:rPr>
              <w:t>m</w:t>
            </w:r>
            <w:r>
              <w:rPr>
                <w:u w:val="single"/>
                <w:vertAlign w:val="superscript"/>
              </w:rPr>
              <w:t>3</w:t>
            </w:r>
            <w:r>
              <w:rPr>
                <w:u w:val="single"/>
              </w:rPr>
              <w:t>/d</w:t>
            </w:r>
            <w:r>
              <w:rPr>
                <w:rFonts w:hint="eastAsia"/>
                <w:u w:val="single"/>
              </w:rPr>
              <w:t>（</w:t>
            </w:r>
            <w:r>
              <w:rPr>
                <w:rFonts w:hint="eastAsia"/>
                <w:u w:val="single"/>
                <w:lang w:val="en-US" w:eastAsia="zh-CN"/>
              </w:rPr>
              <w:t>162</w:t>
            </w:r>
            <w:r>
              <w:rPr>
                <w:u w:val="single"/>
              </w:rPr>
              <w:t>m</w:t>
            </w:r>
            <w:r>
              <w:rPr>
                <w:u w:val="single"/>
                <w:vertAlign w:val="superscript"/>
              </w:rPr>
              <w:t>3</w:t>
            </w:r>
            <w:r>
              <w:rPr>
                <w:u w:val="single"/>
              </w:rPr>
              <w:t>/a</w:t>
            </w:r>
            <w:r>
              <w:rPr>
                <w:rFonts w:hint="eastAsia"/>
                <w:u w:val="single"/>
              </w:rPr>
              <w:t>）。项目绿化用水蒸发损耗，无废水产生。</w:t>
            </w:r>
          </w:p>
          <w:p>
            <w:pPr>
              <w:pStyle w:val="9"/>
              <w:spacing w:before="192" w:after="192"/>
              <w:rPr>
                <w:u w:val="single"/>
                <w:lang w:val="en-US"/>
              </w:rPr>
            </w:pPr>
            <w:r>
              <w:rPr>
                <w:rFonts w:hint="eastAsia"/>
                <w:u w:val="single"/>
                <w:lang w:val="en-US" w:eastAsia="zh-CN"/>
              </w:rPr>
              <w:t>4.2.2.2</w:t>
            </w:r>
            <w:r>
              <w:rPr>
                <w:u w:val="single"/>
                <w:lang w:val="en-US"/>
              </w:rPr>
              <w:t>废水治理措施简述</w:t>
            </w:r>
          </w:p>
          <w:p>
            <w:pPr>
              <w:ind w:firstLine="480"/>
              <w:jc w:val="both"/>
              <w:rPr>
                <w:rFonts w:hint="eastAsia" w:cs="Times New Roman"/>
                <w:sz w:val="24"/>
                <w:highlight w:val="none"/>
                <w:u w:val="single"/>
                <w:lang w:val="en-US" w:eastAsia="zh-CN"/>
              </w:rPr>
            </w:pPr>
            <w:r>
              <w:rPr>
                <w:rFonts w:hint="eastAsia" w:cs="Times New Roman"/>
                <w:u w:val="single"/>
                <w:lang w:eastAsia="zh-CN" w:bidi="ar"/>
              </w:rPr>
              <w:t>本项目产生废水主要为</w:t>
            </w:r>
            <w:r>
              <w:rPr>
                <w:rFonts w:hint="default" w:ascii="Times New Roman" w:hAnsi="Times New Roman" w:eastAsia="宋体" w:cs="Times New Roman"/>
                <w:sz w:val="24"/>
                <w:highlight w:val="none"/>
                <w:u w:val="single"/>
              </w:rPr>
              <w:t>员工生活</w:t>
            </w:r>
            <w:r>
              <w:rPr>
                <w:rFonts w:hint="default" w:ascii="Times New Roman" w:hAnsi="Times New Roman" w:eastAsia="宋体" w:cs="Times New Roman"/>
                <w:sz w:val="24"/>
                <w:highlight w:val="none"/>
                <w:u w:val="single"/>
                <w:lang w:val="en-US" w:eastAsia="zh-CN"/>
              </w:rPr>
              <w:t>废</w:t>
            </w:r>
            <w:r>
              <w:rPr>
                <w:rFonts w:hint="default" w:ascii="Times New Roman" w:hAnsi="Times New Roman" w:eastAsia="宋体" w:cs="Times New Roman"/>
                <w:sz w:val="24"/>
                <w:highlight w:val="none"/>
                <w:u w:val="single"/>
              </w:rPr>
              <w:t>水</w:t>
            </w:r>
            <w:r>
              <w:rPr>
                <w:rFonts w:hint="default" w:ascii="Times New Roman" w:hAnsi="Times New Roman" w:eastAsia="宋体" w:cs="Times New Roman"/>
                <w:sz w:val="24"/>
                <w:highlight w:val="none"/>
                <w:u w:val="single"/>
                <w:lang w:eastAsia="zh-CN"/>
              </w:rPr>
              <w:t>、</w:t>
            </w:r>
            <w:r>
              <w:rPr>
                <w:rFonts w:hint="default" w:ascii="Times New Roman" w:hAnsi="Times New Roman" w:eastAsia="宋体" w:cs="Times New Roman"/>
                <w:sz w:val="24"/>
                <w:highlight w:val="none"/>
                <w:u w:val="single"/>
                <w:lang w:val="en-US" w:eastAsia="zh-CN"/>
              </w:rPr>
              <w:t>冲洗废水以及垃圾渗滤液</w:t>
            </w:r>
            <w:r>
              <w:rPr>
                <w:rFonts w:hint="eastAsia" w:cs="Times New Roman"/>
                <w:sz w:val="24"/>
                <w:highlight w:val="none"/>
                <w:u w:val="single"/>
                <w:lang w:val="en-US" w:eastAsia="zh-CN"/>
              </w:rPr>
              <w:t>。</w:t>
            </w:r>
          </w:p>
          <w:p>
            <w:pPr>
              <w:ind w:firstLine="480"/>
              <w:jc w:val="both"/>
              <w:rPr>
                <w:rFonts w:hint="eastAsia" w:cs="Times New Roman"/>
                <w:sz w:val="24"/>
                <w:highlight w:val="none"/>
                <w:u w:val="single"/>
                <w:lang w:val="en-US" w:eastAsia="zh-CN"/>
              </w:rPr>
            </w:pPr>
            <w:r>
              <w:rPr>
                <w:rFonts w:hint="eastAsia"/>
                <w:u w:val="single"/>
                <w:lang w:eastAsia="zh-CN"/>
              </w:rPr>
              <w:t>本项目</w:t>
            </w:r>
            <w:r>
              <w:rPr>
                <w:rFonts w:hint="default" w:ascii="Times New Roman" w:hAnsi="Times New Roman" w:eastAsia="宋体" w:cs="Times New Roman"/>
                <w:sz w:val="24"/>
                <w:highlight w:val="none"/>
                <w:u w:val="single"/>
                <w:lang w:val="en-US" w:eastAsia="zh-CN"/>
              </w:rPr>
              <w:t>冲洗废水以及垃圾渗滤液</w:t>
            </w:r>
            <w:r>
              <w:rPr>
                <w:rFonts w:hint="eastAsia"/>
                <w:u w:val="single"/>
                <w:lang w:eastAsia="zh-CN"/>
              </w:rPr>
              <w:t>依托紧邻的北侧凤凰县垃圾填埋场的渗滤液处理系统进行处理，</w:t>
            </w:r>
            <w:r>
              <w:rPr>
                <w:rFonts w:hint="eastAsia" w:ascii="Times New Roman" w:hAnsi="Times New Roman"/>
                <w:color w:val="auto"/>
                <w:u w:val="single"/>
                <w:lang w:eastAsia="zh-CN"/>
              </w:rPr>
              <w:t>目前凤凰县垃圾填埋场已建成投产。</w:t>
            </w:r>
            <w:r>
              <w:rPr>
                <w:rFonts w:hint="eastAsia"/>
                <w:u w:val="single"/>
                <w:lang w:eastAsia="zh-CN"/>
              </w:rPr>
              <w:t>根据查阅其验收报告以及应急预案，其渗滤液处理工艺可行性已进行了论证，本项目不再重复论证，仅对本项目废水依托可行性进行分析</w:t>
            </w:r>
            <w:r>
              <w:rPr>
                <w:rFonts w:hint="eastAsia" w:cs="Times New Roman"/>
                <w:sz w:val="24"/>
                <w:highlight w:val="none"/>
                <w:u w:val="single"/>
                <w:lang w:val="en-US" w:eastAsia="zh-CN"/>
              </w:rPr>
              <w:t>。</w:t>
            </w:r>
          </w:p>
          <w:p>
            <w:pPr>
              <w:ind w:firstLine="480"/>
              <w:rPr>
                <w:rFonts w:hint="eastAsia" w:cs="Times New Roman"/>
                <w:b/>
                <w:bCs/>
                <w:sz w:val="24"/>
                <w:highlight w:val="none"/>
                <w:u w:val="single"/>
                <w:lang w:val="en-US" w:eastAsia="zh-CN"/>
              </w:rPr>
            </w:pPr>
            <w:r>
              <w:rPr>
                <w:rFonts w:hint="eastAsia" w:cs="Times New Roman"/>
                <w:b/>
                <w:bCs/>
                <w:sz w:val="24"/>
                <w:highlight w:val="none"/>
                <w:u w:val="single"/>
                <w:lang w:val="en-US" w:eastAsia="zh-CN"/>
              </w:rPr>
              <w:t>凤凰县垃圾填埋场渗滤液处理系统依托可行性分析：</w:t>
            </w:r>
          </w:p>
          <w:p>
            <w:pPr>
              <w:numPr>
                <w:ilvl w:val="0"/>
                <w:numId w:val="4"/>
              </w:numPr>
              <w:ind w:firstLine="480"/>
              <w:rPr>
                <w:rFonts w:hint="eastAsia" w:cs="Times New Roman"/>
                <w:sz w:val="24"/>
                <w:highlight w:val="none"/>
                <w:u w:val="single"/>
                <w:lang w:val="en-US" w:eastAsia="zh-CN"/>
              </w:rPr>
            </w:pPr>
            <w:r>
              <w:rPr>
                <w:rFonts w:hint="eastAsia" w:cs="Times New Roman"/>
                <w:sz w:val="24"/>
                <w:highlight w:val="none"/>
                <w:u w:val="single"/>
                <w:lang w:val="en-US" w:eastAsia="zh-CN"/>
              </w:rPr>
              <w:t>水量分析</w:t>
            </w:r>
          </w:p>
          <w:p>
            <w:pPr>
              <w:bidi w:val="0"/>
              <w:rPr>
                <w:rFonts w:hint="eastAsia"/>
                <w:u w:val="single"/>
                <w:lang w:val="en-US" w:eastAsia="zh-CN"/>
              </w:rPr>
            </w:pPr>
            <w:r>
              <w:rPr>
                <w:rFonts w:hint="eastAsia"/>
                <w:u w:val="single"/>
                <w:lang w:val="en-US" w:eastAsia="zh-CN"/>
              </w:rPr>
              <w:t>凤凰县垃圾填埋场排入渗滤液处理站的日平均废水量为100t/d，渗滤液污水处理系统实际建设规模为100m</w:t>
            </w:r>
            <w:r>
              <w:rPr>
                <w:rFonts w:hint="eastAsia"/>
                <w:u w:val="single"/>
                <w:vertAlign w:val="superscript"/>
                <w:lang w:val="en-US" w:eastAsia="zh-CN"/>
              </w:rPr>
              <w:t>3</w:t>
            </w:r>
            <w:r>
              <w:rPr>
                <w:rFonts w:hint="eastAsia"/>
                <w:u w:val="single"/>
                <w:lang w:val="en-US" w:eastAsia="zh-CN"/>
              </w:rPr>
              <w:t>/d。污水处理站日常余量为20t/d。本项目排入填埋场渗滤液污水处理站废水量日最大为18.2t/d（不包括初期雨水）。则本项目即使在最大日废水量，其渗滤液污水处理站依然可以接纳本项目的废水量。</w:t>
            </w:r>
          </w:p>
          <w:p>
            <w:pPr>
              <w:bidi w:val="0"/>
              <w:rPr>
                <w:rFonts w:hint="eastAsia" w:eastAsia="宋体"/>
                <w:u w:val="single"/>
                <w:lang w:eastAsia="zh-CN"/>
              </w:rPr>
            </w:pPr>
            <w:r>
              <w:rPr>
                <w:rFonts w:hint="eastAsia"/>
                <w:u w:val="single"/>
                <w:lang w:eastAsia="zh-CN"/>
              </w:rPr>
              <w:t>（</w:t>
            </w:r>
            <w:r>
              <w:rPr>
                <w:rFonts w:hint="eastAsia"/>
                <w:u w:val="single"/>
                <w:lang w:val="en-US" w:eastAsia="zh-CN"/>
              </w:rPr>
              <w:t>2</w:t>
            </w:r>
            <w:r>
              <w:rPr>
                <w:rFonts w:hint="eastAsia"/>
                <w:u w:val="single"/>
                <w:lang w:eastAsia="zh-CN"/>
              </w:rPr>
              <w:t>）水质分析</w:t>
            </w:r>
          </w:p>
          <w:p>
            <w:pPr>
              <w:bidi w:val="0"/>
              <w:rPr>
                <w:rFonts w:hint="eastAsia"/>
                <w:u w:val="single"/>
                <w:lang w:eastAsia="zh-CN"/>
              </w:rPr>
            </w:pPr>
            <w:r>
              <w:rPr>
                <w:rFonts w:hint="eastAsia"/>
                <w:u w:val="single"/>
                <w:lang w:eastAsia="zh-CN"/>
              </w:rPr>
              <w:t>根据凤凰县填埋场渗滤液污水处理站实际建设情况可知，其处理工艺采用“过滤器+初沉池+调节池+厌氧罐+反硝化池+消化池+超滤膜系统+</w:t>
            </w:r>
            <w:r>
              <w:rPr>
                <w:rFonts w:hint="eastAsia"/>
                <w:u w:val="single"/>
                <w:lang w:val="en-US" w:eastAsia="zh-CN"/>
              </w:rPr>
              <w:t>NF</w:t>
            </w:r>
            <w:r>
              <w:rPr>
                <w:rFonts w:hint="eastAsia"/>
                <w:u w:val="single"/>
                <w:lang w:eastAsia="zh-CN"/>
              </w:rPr>
              <w:t>+回用水池”的处理系统工艺。无进水水质要求其渗滤液污水处理站进出水水质情况见下表：</w:t>
            </w:r>
          </w:p>
          <w:p>
            <w:pPr>
              <w:pStyle w:val="2"/>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同时根据吉首市生活垃圾焚烧发电厂渗滤液污水处理站施工设计可知，垃圾渗滤液污水处理站进出水水质见下表：</w:t>
            </w:r>
          </w:p>
          <w:p>
            <w:pPr>
              <w:pStyle w:val="4"/>
              <w:jc w:val="center"/>
              <w:rPr>
                <w:rFonts w:hint="eastAsia" w:ascii="Times New Roman" w:hAnsi="Times New Roman" w:cs="Times New Roman"/>
                <w:b/>
                <w:bCs/>
                <w:u w:val="single"/>
                <w:lang w:val="en-US" w:eastAsia="zh-CN"/>
              </w:rPr>
            </w:pPr>
            <w:r>
              <w:rPr>
                <w:rFonts w:hint="default" w:ascii="Times New Roman" w:hAnsi="Times New Roman" w:cs="Times New Roman"/>
                <w:b/>
                <w:bCs/>
                <w:u w:val="single"/>
                <w:lang w:val="en-US" w:eastAsia="zh-CN"/>
              </w:rPr>
              <w:t>表</w:t>
            </w:r>
            <w:r>
              <w:rPr>
                <w:rFonts w:hint="eastAsia" w:ascii="Times New Roman" w:cs="Times New Roman"/>
                <w:b/>
                <w:bCs/>
                <w:u w:val="single"/>
                <w:lang w:val="en-US" w:eastAsia="zh-CN"/>
              </w:rPr>
              <w:t>4</w:t>
            </w:r>
            <w:r>
              <w:rPr>
                <w:rFonts w:hint="default" w:ascii="Times New Roman" w:hAnsi="Times New Roman" w:cs="Times New Roman"/>
                <w:b/>
                <w:bCs/>
                <w:u w:val="single"/>
                <w:lang w:val="en-US" w:eastAsia="zh-CN"/>
              </w:rPr>
              <w:t>-</w:t>
            </w:r>
            <w:r>
              <w:rPr>
                <w:rFonts w:hint="eastAsia" w:ascii="Times New Roman" w:cs="Times New Roman"/>
                <w:b/>
                <w:bCs/>
                <w:u w:val="single"/>
                <w:lang w:val="en-US" w:eastAsia="zh-CN"/>
              </w:rPr>
              <w:t>13</w:t>
            </w:r>
            <w:r>
              <w:rPr>
                <w:rFonts w:hint="default" w:ascii="Times New Roman" w:hAnsi="Times New Roman" w:cs="Times New Roman"/>
                <w:b/>
                <w:bCs/>
                <w:u w:val="single"/>
                <w:lang w:val="en-US" w:eastAsia="zh-CN"/>
              </w:rPr>
              <w:t xml:space="preserve">  </w:t>
            </w:r>
            <w:r>
              <w:rPr>
                <w:rFonts w:hint="eastAsia" w:ascii="Times New Roman" w:cs="Times New Roman"/>
                <w:b/>
                <w:bCs/>
                <w:u w:val="single"/>
                <w:lang w:val="en-US" w:eastAsia="zh-CN"/>
              </w:rPr>
              <w:t>本项目废水与</w:t>
            </w:r>
            <w:r>
              <w:rPr>
                <w:rFonts w:hint="default" w:ascii="Times New Roman" w:hAnsi="Times New Roman" w:cs="Times New Roman"/>
                <w:b/>
                <w:bCs/>
                <w:u w:val="single"/>
                <w:lang w:val="en-US" w:eastAsia="zh-CN"/>
              </w:rPr>
              <w:t>垃圾渗滤液设计进水水质指标</w:t>
            </w:r>
            <w:r>
              <w:rPr>
                <w:rFonts w:hint="eastAsia" w:ascii="Times New Roman" w:cs="Times New Roman"/>
                <w:b/>
                <w:bCs/>
                <w:u w:val="single"/>
                <w:lang w:val="en-US" w:eastAsia="zh-CN"/>
              </w:rPr>
              <w:t>对照</w:t>
            </w:r>
            <w:r>
              <w:rPr>
                <w:rFonts w:hint="default" w:ascii="Times New Roman" w:hAnsi="Times New Roman" w:cs="Times New Roman"/>
                <w:b/>
                <w:bCs/>
                <w:u w:val="single"/>
                <w:lang w:val="en-US" w:eastAsia="zh-CN"/>
              </w:rPr>
              <w:t>表</w:t>
            </w:r>
            <w:r>
              <w:rPr>
                <w:rFonts w:hint="eastAsia" w:ascii="Times New Roman" w:hAnsi="Times New Roman" w:cs="Times New Roman"/>
                <w:b/>
                <w:bCs/>
                <w:u w:val="single"/>
                <w:lang w:val="en-US" w:eastAsia="zh-CN"/>
              </w:rPr>
              <w:t xml:space="preserve">     </w:t>
            </w:r>
            <w:r>
              <w:rPr>
                <w:rFonts w:hint="default" w:ascii="Times New Roman" w:hAnsi="Times New Roman" w:cs="Times New Roman"/>
                <w:b/>
                <w:bCs/>
                <w:u w:val="single"/>
                <w:lang w:val="en-US" w:eastAsia="zh-CN"/>
              </w:rPr>
              <w:t>单位：mg/L</w:t>
            </w:r>
          </w:p>
          <w:tbl>
            <w:tblPr>
              <w:tblStyle w:val="31"/>
              <w:tblW w:w="8617"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246"/>
              <w:gridCol w:w="1500"/>
              <w:gridCol w:w="1440"/>
              <w:gridCol w:w="1412"/>
              <w:gridCol w:w="1101"/>
              <w:gridCol w:w="91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2246"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b/>
                      <w:bCs/>
                      <w:u w:val="single"/>
                      <w:vertAlign w:val="baseline"/>
                      <w:lang w:val="en-US" w:eastAsia="zh-CN"/>
                    </w:rPr>
                  </w:pPr>
                  <w:r>
                    <w:rPr>
                      <w:rFonts w:hint="eastAsia" w:ascii="Times New Roman" w:cs="Times New Roman"/>
                      <w:b/>
                      <w:bCs/>
                      <w:u w:val="single"/>
                      <w:vertAlign w:val="baseline"/>
                      <w:lang w:val="en-US" w:eastAsia="zh-CN"/>
                    </w:rPr>
                    <w:t>废水污染物指标</w:t>
                  </w:r>
                </w:p>
              </w:tc>
              <w:tc>
                <w:tcPr>
                  <w:tcW w:w="1500"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cs="Times New Roman"/>
                      <w:b/>
                      <w:bCs/>
                      <w:u w:val="single"/>
                      <w:vertAlign w:val="baseline"/>
                      <w:lang w:val="en-US" w:eastAsia="zh-CN"/>
                    </w:rPr>
                  </w:pPr>
                  <w:r>
                    <w:rPr>
                      <w:rFonts w:hint="default" w:ascii="Times New Roman" w:hAnsi="Times New Roman" w:cs="Times New Roman"/>
                      <w:b/>
                      <w:bCs/>
                      <w:u w:val="single"/>
                      <w:vertAlign w:val="baseline"/>
                      <w:lang w:val="en-US" w:eastAsia="zh-CN"/>
                    </w:rPr>
                    <w:t>COD</w:t>
                  </w:r>
                  <w:r>
                    <w:rPr>
                      <w:rFonts w:hint="default" w:ascii="Times New Roman" w:hAnsi="Times New Roman" w:cs="Times New Roman"/>
                      <w:b/>
                      <w:bCs/>
                      <w:u w:val="single"/>
                      <w:vertAlign w:val="subscript"/>
                      <w:lang w:val="en-US" w:eastAsia="zh-CN"/>
                    </w:rPr>
                    <w:t>Cr</w:t>
                  </w:r>
                </w:p>
              </w:tc>
              <w:tc>
                <w:tcPr>
                  <w:tcW w:w="1440"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cs="Times New Roman"/>
                      <w:b/>
                      <w:bCs/>
                      <w:u w:val="single"/>
                      <w:vertAlign w:val="baseline"/>
                      <w:lang w:val="en-US" w:eastAsia="zh-CN"/>
                    </w:rPr>
                  </w:pPr>
                  <w:r>
                    <w:rPr>
                      <w:rFonts w:hint="default" w:ascii="Times New Roman" w:hAnsi="Times New Roman" w:cs="Times New Roman"/>
                      <w:b/>
                      <w:bCs/>
                      <w:u w:val="single"/>
                      <w:vertAlign w:val="baseline"/>
                      <w:lang w:val="en-US" w:eastAsia="zh-CN"/>
                    </w:rPr>
                    <w:t>BOD</w:t>
                  </w:r>
                  <w:r>
                    <w:rPr>
                      <w:rFonts w:hint="default" w:ascii="Times New Roman" w:hAnsi="Times New Roman" w:cs="Times New Roman"/>
                      <w:b/>
                      <w:bCs/>
                      <w:u w:val="single"/>
                      <w:vertAlign w:val="subscript"/>
                      <w:lang w:val="en-US" w:eastAsia="zh-CN"/>
                    </w:rPr>
                    <w:t>5</w:t>
                  </w:r>
                </w:p>
              </w:tc>
              <w:tc>
                <w:tcPr>
                  <w:tcW w:w="1412"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cs="Times New Roman"/>
                      <w:b/>
                      <w:bCs/>
                      <w:u w:val="single"/>
                      <w:vertAlign w:val="baseline"/>
                      <w:lang w:val="en-US" w:eastAsia="zh-CN"/>
                    </w:rPr>
                  </w:pPr>
                  <w:r>
                    <w:rPr>
                      <w:rFonts w:hint="default" w:ascii="Times New Roman" w:hAnsi="Times New Roman" w:cs="Times New Roman"/>
                      <w:b/>
                      <w:bCs/>
                      <w:u w:val="single"/>
                      <w:vertAlign w:val="baseline"/>
                      <w:lang w:val="en-US" w:eastAsia="zh-CN"/>
                    </w:rPr>
                    <w:t>NH</w:t>
                  </w:r>
                  <w:r>
                    <w:rPr>
                      <w:rFonts w:hint="default" w:ascii="Times New Roman" w:hAnsi="Times New Roman" w:cs="Times New Roman"/>
                      <w:b/>
                      <w:bCs/>
                      <w:u w:val="single"/>
                      <w:vertAlign w:val="subscript"/>
                      <w:lang w:val="en-US" w:eastAsia="zh-CN"/>
                    </w:rPr>
                    <w:t>3</w:t>
                  </w:r>
                  <w:r>
                    <w:rPr>
                      <w:rFonts w:hint="default" w:ascii="Times New Roman" w:hAnsi="Times New Roman" w:cs="Times New Roman"/>
                      <w:b/>
                      <w:bCs/>
                      <w:u w:val="single"/>
                      <w:vertAlign w:val="baseline"/>
                      <w:lang w:val="en-US" w:eastAsia="zh-CN"/>
                    </w:rPr>
                    <w:t>-N</w:t>
                  </w:r>
                </w:p>
              </w:tc>
              <w:tc>
                <w:tcPr>
                  <w:tcW w:w="1101"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b/>
                      <w:bCs/>
                      <w:u w:val="single"/>
                      <w:vertAlign w:val="baseline"/>
                      <w:lang w:val="en-US" w:eastAsia="zh-CN"/>
                    </w:rPr>
                  </w:pPr>
                  <w:r>
                    <w:rPr>
                      <w:rFonts w:hint="eastAsia" w:ascii="Times New Roman" w:cs="Times New Roman"/>
                      <w:b/>
                      <w:bCs/>
                      <w:u w:val="single"/>
                      <w:vertAlign w:val="baseline"/>
                      <w:lang w:val="en-US" w:eastAsia="zh-CN"/>
                    </w:rPr>
                    <w:t>SS</w:t>
                  </w:r>
                </w:p>
              </w:tc>
              <w:tc>
                <w:tcPr>
                  <w:tcW w:w="918"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b/>
                      <w:bCs/>
                      <w:u w:val="single"/>
                      <w:vertAlign w:val="baseline"/>
                      <w:lang w:val="en-US" w:eastAsia="zh-CN"/>
                    </w:rPr>
                  </w:pPr>
                  <w:r>
                    <w:rPr>
                      <w:rFonts w:hint="eastAsia" w:ascii="Times New Roman" w:cs="Times New Roman"/>
                      <w:b/>
                      <w:bCs/>
                      <w:u w:val="single"/>
                      <w:vertAlign w:val="baseline"/>
                      <w:lang w:val="en-US" w:eastAsia="zh-CN"/>
                    </w:rPr>
                    <w:t>pH</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2246"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u w:val="single"/>
                      <w:vertAlign w:val="baseline"/>
                      <w:lang w:val="en-US" w:eastAsia="zh-CN"/>
                    </w:rPr>
                  </w:pPr>
                  <w:r>
                    <w:rPr>
                      <w:rFonts w:hint="eastAsia" w:ascii="Times New Roman" w:cs="Times New Roman"/>
                      <w:u w:val="single"/>
                      <w:vertAlign w:val="baseline"/>
                      <w:lang w:val="en-US" w:eastAsia="zh-CN"/>
                    </w:rPr>
                    <w:t>渗滤液产生浓度</w:t>
                  </w:r>
                </w:p>
              </w:tc>
              <w:tc>
                <w:tcPr>
                  <w:tcW w:w="1500"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u w:val="single"/>
                      <w:vertAlign w:val="baseline"/>
                      <w:lang w:val="en-US" w:eastAsia="zh-CN"/>
                    </w:rPr>
                  </w:pPr>
                  <w:r>
                    <w:rPr>
                      <w:rFonts w:hint="default" w:ascii="Times New Roman" w:hAnsi="Times New Roman" w:cs="Times New Roman"/>
                      <w:u w:val="single"/>
                      <w:vertAlign w:val="baseline"/>
                      <w:lang w:val="en-US" w:eastAsia="zh-CN"/>
                    </w:rPr>
                    <w:t>13800</w:t>
                  </w:r>
                </w:p>
              </w:tc>
              <w:tc>
                <w:tcPr>
                  <w:tcW w:w="1440"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u w:val="single"/>
                      <w:vertAlign w:val="baseline"/>
                      <w:lang w:val="en-US" w:eastAsia="zh-CN"/>
                    </w:rPr>
                  </w:pPr>
                  <w:r>
                    <w:rPr>
                      <w:rFonts w:hint="default" w:ascii="Times New Roman" w:hAnsi="Times New Roman" w:cs="Times New Roman"/>
                      <w:u w:val="single"/>
                      <w:vertAlign w:val="baseline"/>
                      <w:lang w:val="en-US" w:eastAsia="zh-CN"/>
                    </w:rPr>
                    <w:t>5600</w:t>
                  </w:r>
                </w:p>
              </w:tc>
              <w:tc>
                <w:tcPr>
                  <w:tcW w:w="1412"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u w:val="single"/>
                      <w:vertAlign w:val="baseline"/>
                      <w:lang w:val="en-US" w:eastAsia="zh-CN"/>
                    </w:rPr>
                  </w:pPr>
                  <w:r>
                    <w:rPr>
                      <w:rFonts w:hint="default" w:ascii="Times New Roman" w:hAnsi="Times New Roman" w:cs="Times New Roman"/>
                      <w:u w:val="single"/>
                      <w:vertAlign w:val="baseline"/>
                      <w:lang w:val="en-US" w:eastAsia="zh-CN"/>
                    </w:rPr>
                    <w:t>1600</w:t>
                  </w:r>
                </w:p>
              </w:tc>
              <w:tc>
                <w:tcPr>
                  <w:tcW w:w="1101"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cs="Times New Roman"/>
                      <w:u w:val="single"/>
                      <w:vertAlign w:val="baseline"/>
                      <w:lang w:val="en-US" w:eastAsia="zh-CN"/>
                    </w:rPr>
                  </w:pPr>
                  <w:r>
                    <w:rPr>
                      <w:rFonts w:hint="eastAsia" w:ascii="Times New Roman" w:cs="Times New Roman"/>
                      <w:u w:val="single"/>
                      <w:vertAlign w:val="baseline"/>
                      <w:lang w:val="en-US" w:eastAsia="zh-CN"/>
                    </w:rPr>
                    <w:t>/</w:t>
                  </w:r>
                </w:p>
              </w:tc>
              <w:tc>
                <w:tcPr>
                  <w:tcW w:w="918"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cs="Times New Roman"/>
                      <w:u w:val="single"/>
                      <w:vertAlign w:val="baseline"/>
                      <w:lang w:val="en-US" w:eastAsia="zh-CN"/>
                    </w:rPr>
                  </w:pPr>
                  <w:r>
                    <w:rPr>
                      <w:rFonts w:hint="eastAsia" w:ascii="Times New Roman" w:cs="Times New Roman"/>
                      <w:u w:val="single"/>
                      <w:vertAlign w:val="baseline"/>
                      <w:lang w:val="en-US" w:eastAsia="zh-CN"/>
                    </w:rPr>
                    <w:t>6.0-9.0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2246"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u w:val="single"/>
                      <w:vertAlign w:val="baseline"/>
                      <w:lang w:val="en-US" w:eastAsia="zh-CN"/>
                    </w:rPr>
                  </w:pPr>
                  <w:r>
                    <w:rPr>
                      <w:rFonts w:hint="eastAsia" w:ascii="Times New Roman" w:cs="Times New Roman"/>
                      <w:u w:val="single"/>
                      <w:vertAlign w:val="baseline"/>
                      <w:lang w:val="en-US" w:eastAsia="zh-CN"/>
                    </w:rPr>
                    <w:t>设备、场地冲洗废水产生浓度</w:t>
                  </w:r>
                </w:p>
              </w:tc>
              <w:tc>
                <w:tcPr>
                  <w:tcW w:w="1500"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u w:val="single"/>
                      <w:vertAlign w:val="baseline"/>
                      <w:lang w:val="en-US" w:eastAsia="zh-CN"/>
                    </w:rPr>
                  </w:pPr>
                  <w:r>
                    <w:rPr>
                      <w:rFonts w:hint="eastAsia" w:ascii="Times New Roman" w:cs="Times New Roman"/>
                      <w:u w:val="single"/>
                      <w:vertAlign w:val="baseline"/>
                      <w:lang w:val="en-US" w:eastAsia="zh-CN"/>
                    </w:rPr>
                    <w:t>1200</w:t>
                  </w:r>
                </w:p>
              </w:tc>
              <w:tc>
                <w:tcPr>
                  <w:tcW w:w="1440"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u w:val="single"/>
                      <w:vertAlign w:val="baseline"/>
                      <w:lang w:val="en-US" w:eastAsia="zh-CN"/>
                    </w:rPr>
                  </w:pPr>
                  <w:r>
                    <w:rPr>
                      <w:rFonts w:hint="eastAsia" w:ascii="Times New Roman" w:cs="Times New Roman"/>
                      <w:u w:val="single"/>
                      <w:vertAlign w:val="baseline"/>
                      <w:lang w:val="en-US" w:eastAsia="zh-CN"/>
                    </w:rPr>
                    <w:t>600</w:t>
                  </w:r>
                </w:p>
              </w:tc>
              <w:tc>
                <w:tcPr>
                  <w:tcW w:w="1412"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u w:val="single"/>
                      <w:vertAlign w:val="baseline"/>
                      <w:lang w:val="en-US" w:eastAsia="zh-CN"/>
                    </w:rPr>
                  </w:pPr>
                  <w:r>
                    <w:rPr>
                      <w:rFonts w:hint="eastAsia" w:ascii="Times New Roman" w:cs="Times New Roman"/>
                      <w:u w:val="single"/>
                      <w:vertAlign w:val="baseline"/>
                      <w:lang w:val="en-US" w:eastAsia="zh-CN"/>
                    </w:rPr>
                    <w:t>20</w:t>
                  </w:r>
                </w:p>
              </w:tc>
              <w:tc>
                <w:tcPr>
                  <w:tcW w:w="1101"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cs="Times New Roman"/>
                      <w:u w:val="single"/>
                      <w:vertAlign w:val="baseline"/>
                      <w:lang w:val="en-US" w:eastAsia="zh-CN"/>
                    </w:rPr>
                  </w:pPr>
                  <w:r>
                    <w:rPr>
                      <w:rFonts w:hint="eastAsia" w:ascii="Times New Roman" w:cs="Times New Roman"/>
                      <w:u w:val="single"/>
                      <w:vertAlign w:val="baseline"/>
                      <w:lang w:val="en-US" w:eastAsia="zh-CN"/>
                    </w:rPr>
                    <w:t>500</w:t>
                  </w:r>
                </w:p>
              </w:tc>
              <w:tc>
                <w:tcPr>
                  <w:tcW w:w="918"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cs="Times New Roman"/>
                      <w:u w:val="single"/>
                      <w:vertAlign w:val="baseline"/>
                      <w:lang w:val="en-US" w:eastAsia="zh-CN"/>
                    </w:rPr>
                  </w:pPr>
                  <w:r>
                    <w:rPr>
                      <w:rFonts w:hint="eastAsia" w:ascii="Times New Roman" w:cs="Times New Roman"/>
                      <w:u w:val="single"/>
                      <w:vertAlign w:val="baseline"/>
                      <w:lang w:val="en-US" w:eastAsia="zh-CN"/>
                    </w:rPr>
                    <w:t>6.0-9.0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2246"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u w:val="single"/>
                      <w:vertAlign w:val="baseline"/>
                      <w:lang w:val="en-US" w:eastAsia="zh-CN"/>
                    </w:rPr>
                  </w:pPr>
                  <w:r>
                    <w:rPr>
                      <w:rFonts w:hint="eastAsia" w:ascii="Times New Roman" w:cs="Times New Roman"/>
                      <w:u w:val="single"/>
                      <w:vertAlign w:val="baseline"/>
                      <w:lang w:val="en-US" w:eastAsia="zh-CN"/>
                    </w:rPr>
                    <w:t>渗滤液污水处理站进水水质要求</w:t>
                  </w:r>
                </w:p>
              </w:tc>
              <w:tc>
                <w:tcPr>
                  <w:tcW w:w="1500"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u w:val="single"/>
                      <w:vertAlign w:val="baseline"/>
                      <w:lang w:val="en-US" w:eastAsia="zh-CN"/>
                    </w:rPr>
                  </w:pPr>
                  <w:r>
                    <w:rPr>
                      <w:rFonts w:hint="eastAsia" w:ascii="Times New Roman" w:cs="Times New Roman"/>
                      <w:u w:val="single"/>
                      <w:vertAlign w:val="baseline"/>
                      <w:lang w:val="en-US" w:eastAsia="zh-CN"/>
                    </w:rPr>
                    <w:t>60000</w:t>
                  </w:r>
                </w:p>
              </w:tc>
              <w:tc>
                <w:tcPr>
                  <w:tcW w:w="1440"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u w:val="single"/>
                      <w:vertAlign w:val="baseline"/>
                      <w:lang w:val="en-US" w:eastAsia="zh-CN"/>
                    </w:rPr>
                  </w:pPr>
                  <w:r>
                    <w:rPr>
                      <w:rFonts w:hint="default" w:ascii="Times New Roman" w:hAnsi="Times New Roman" w:cs="Times New Roman"/>
                      <w:u w:val="single"/>
                      <w:vertAlign w:val="baseline"/>
                      <w:lang w:val="en-US" w:eastAsia="zh-CN"/>
                    </w:rPr>
                    <w:t>3000</w:t>
                  </w:r>
                  <w:r>
                    <w:rPr>
                      <w:rFonts w:hint="eastAsia" w:ascii="Times New Roman" w:cs="Times New Roman"/>
                      <w:u w:val="single"/>
                      <w:vertAlign w:val="baseline"/>
                      <w:lang w:val="en-US" w:eastAsia="zh-CN"/>
                    </w:rPr>
                    <w:t>0</w:t>
                  </w:r>
                </w:p>
              </w:tc>
              <w:tc>
                <w:tcPr>
                  <w:tcW w:w="1412"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u w:val="single"/>
                      <w:vertAlign w:val="baseline"/>
                      <w:lang w:val="en-US" w:eastAsia="zh-CN"/>
                    </w:rPr>
                  </w:pPr>
                  <w:r>
                    <w:rPr>
                      <w:rFonts w:hint="eastAsia" w:ascii="Times New Roman" w:cs="Times New Roman"/>
                      <w:u w:val="single"/>
                      <w:vertAlign w:val="baseline"/>
                      <w:lang w:val="en-US" w:eastAsia="zh-CN"/>
                    </w:rPr>
                    <w:t>2500</w:t>
                  </w:r>
                </w:p>
              </w:tc>
              <w:tc>
                <w:tcPr>
                  <w:tcW w:w="1101"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u w:val="single"/>
                      <w:vertAlign w:val="baseline"/>
                      <w:lang w:val="en-US" w:eastAsia="zh-CN"/>
                    </w:rPr>
                  </w:pPr>
                  <w:r>
                    <w:rPr>
                      <w:rFonts w:hint="eastAsia" w:ascii="Times New Roman" w:cs="Times New Roman"/>
                      <w:u w:val="single"/>
                      <w:vertAlign w:val="baseline"/>
                      <w:lang w:val="en-US" w:eastAsia="zh-CN"/>
                    </w:rPr>
                    <w:t>10000</w:t>
                  </w:r>
                </w:p>
              </w:tc>
              <w:tc>
                <w:tcPr>
                  <w:tcW w:w="918"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u w:val="single"/>
                      <w:vertAlign w:val="baseline"/>
                      <w:lang w:val="en-US" w:eastAsia="zh-CN"/>
                    </w:rPr>
                  </w:pPr>
                  <w:r>
                    <w:rPr>
                      <w:rFonts w:hint="eastAsia" w:ascii="Times New Roman" w:cs="Times New Roman"/>
                      <w:u w:val="single"/>
                      <w:vertAlign w:val="baseline"/>
                      <w:lang w:val="en-US" w:eastAsia="zh-CN"/>
                    </w:rPr>
                    <w:t>6.0-9.0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2246"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cs="Times New Roman"/>
                      <w:u w:val="single"/>
                      <w:vertAlign w:val="baseline"/>
                      <w:lang w:val="en-US" w:eastAsia="zh-CN"/>
                    </w:rPr>
                  </w:pPr>
                  <w:r>
                    <w:rPr>
                      <w:rFonts w:hint="eastAsia" w:ascii="Times New Roman" w:cs="Times New Roman"/>
                      <w:u w:val="single"/>
                      <w:vertAlign w:val="baseline"/>
                      <w:lang w:val="en-US" w:eastAsia="zh-CN"/>
                    </w:rPr>
                    <w:t>是否达到进水水质要求</w:t>
                  </w:r>
                </w:p>
              </w:tc>
              <w:tc>
                <w:tcPr>
                  <w:tcW w:w="1500"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cs="Times New Roman"/>
                      <w:u w:val="single"/>
                      <w:vertAlign w:val="baseline"/>
                      <w:lang w:val="en-US" w:eastAsia="zh-CN"/>
                    </w:rPr>
                  </w:pPr>
                  <w:r>
                    <w:rPr>
                      <w:rFonts w:hint="eastAsia" w:ascii="Times New Roman" w:cs="Times New Roman"/>
                      <w:u w:val="single"/>
                      <w:vertAlign w:val="baseline"/>
                      <w:lang w:val="en-US" w:eastAsia="zh-CN"/>
                    </w:rPr>
                    <w:t>是</w:t>
                  </w:r>
                </w:p>
              </w:tc>
              <w:tc>
                <w:tcPr>
                  <w:tcW w:w="1440"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cs="Times New Roman"/>
                      <w:u w:val="single"/>
                      <w:vertAlign w:val="baseline"/>
                      <w:lang w:val="en-US" w:eastAsia="zh-CN"/>
                    </w:rPr>
                  </w:pPr>
                  <w:r>
                    <w:rPr>
                      <w:rFonts w:hint="eastAsia" w:ascii="Times New Roman" w:cs="Times New Roman"/>
                      <w:u w:val="single"/>
                      <w:vertAlign w:val="baseline"/>
                      <w:lang w:val="en-US" w:eastAsia="zh-CN"/>
                    </w:rPr>
                    <w:t>是</w:t>
                  </w:r>
                </w:p>
              </w:tc>
              <w:tc>
                <w:tcPr>
                  <w:tcW w:w="1412"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cs="Times New Roman"/>
                      <w:u w:val="single"/>
                      <w:vertAlign w:val="baseline"/>
                      <w:lang w:val="en-US" w:eastAsia="zh-CN"/>
                    </w:rPr>
                  </w:pPr>
                  <w:r>
                    <w:rPr>
                      <w:rFonts w:hint="eastAsia" w:ascii="Times New Roman" w:cs="Times New Roman"/>
                      <w:u w:val="single"/>
                      <w:vertAlign w:val="baseline"/>
                      <w:lang w:val="en-US" w:eastAsia="zh-CN"/>
                    </w:rPr>
                    <w:t>是</w:t>
                  </w:r>
                </w:p>
              </w:tc>
              <w:tc>
                <w:tcPr>
                  <w:tcW w:w="1101"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cs="Times New Roman"/>
                      <w:u w:val="single"/>
                      <w:vertAlign w:val="baseline"/>
                      <w:lang w:val="en-US" w:eastAsia="zh-CN"/>
                    </w:rPr>
                  </w:pPr>
                  <w:r>
                    <w:rPr>
                      <w:rFonts w:hint="eastAsia" w:ascii="Times New Roman" w:cs="Times New Roman"/>
                      <w:u w:val="single"/>
                      <w:vertAlign w:val="baseline"/>
                      <w:lang w:val="en-US" w:eastAsia="zh-CN"/>
                    </w:rPr>
                    <w:t>是</w:t>
                  </w:r>
                </w:p>
              </w:tc>
              <w:tc>
                <w:tcPr>
                  <w:tcW w:w="918"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cs="Times New Roman"/>
                      <w:u w:val="single"/>
                      <w:vertAlign w:val="baseline"/>
                      <w:lang w:val="en-US" w:eastAsia="zh-CN"/>
                    </w:rPr>
                  </w:pPr>
                  <w:r>
                    <w:rPr>
                      <w:rFonts w:hint="eastAsia" w:ascii="Times New Roman" w:cs="Times New Roman"/>
                      <w:u w:val="single"/>
                      <w:vertAlign w:val="baseline"/>
                      <w:lang w:val="en-US" w:eastAsia="zh-CN"/>
                    </w:rPr>
                    <w:t>是</w:t>
                  </w:r>
                </w:p>
              </w:tc>
            </w:tr>
          </w:tbl>
          <w:p>
            <w:pPr>
              <w:bidi w:val="0"/>
              <w:jc w:val="both"/>
              <w:rPr>
                <w:rFonts w:hint="eastAsia"/>
                <w:u w:val="single"/>
                <w:lang w:eastAsia="zh-CN"/>
              </w:rPr>
            </w:pPr>
            <w:r>
              <w:rPr>
                <w:rFonts w:hint="eastAsia"/>
                <w:u w:val="single"/>
                <w:lang w:val="en-US" w:eastAsia="zh-CN"/>
              </w:rPr>
              <w:t>综上，本项目废水满足焚烧发电厂</w:t>
            </w:r>
            <w:r>
              <w:rPr>
                <w:rFonts w:hint="default"/>
                <w:u w:val="single"/>
                <w:lang w:val="en-US" w:eastAsia="zh-CN"/>
              </w:rPr>
              <w:t>的</w:t>
            </w:r>
            <w:r>
              <w:rPr>
                <w:rFonts w:hint="eastAsia"/>
                <w:u w:val="single"/>
                <w:lang w:val="en-US" w:eastAsia="zh-CN"/>
              </w:rPr>
              <w:t>渗滤液污水处理站的</w:t>
            </w:r>
            <w:r>
              <w:rPr>
                <w:rFonts w:hint="default"/>
                <w:u w:val="single"/>
                <w:lang w:val="en-US" w:eastAsia="zh-CN"/>
              </w:rPr>
              <w:t>水质水量的控制要求，且根据《排污许可证申请与核发技术规范 环境卫生管理业》HJ 1106—2020中表 A.2 环境卫生管理业排污单位废水治理可行技术参考表</w:t>
            </w:r>
            <w:r>
              <w:rPr>
                <w:rFonts w:hint="eastAsia"/>
                <w:u w:val="single"/>
                <w:lang w:val="en-US" w:eastAsia="zh-CN"/>
              </w:rPr>
              <w:t>，渗滤液处理的可行技术为预处理+生物处理+深度处理；预处理+深度处理；生物处理+深度处理</w:t>
            </w:r>
            <w:r>
              <w:rPr>
                <w:rFonts w:hint="default"/>
                <w:u w:val="single"/>
                <w:lang w:val="en-US" w:eastAsia="zh-CN"/>
              </w:rPr>
              <w:t>，</w:t>
            </w:r>
            <w:r>
              <w:rPr>
                <w:rFonts w:hint="eastAsia"/>
                <w:u w:val="single"/>
                <w:lang w:val="en-US" w:eastAsia="zh-CN"/>
              </w:rPr>
              <w:t>本项目依托的吉首市生活垃圾焚烧发电厂渗滤液污水处理站采用的为推荐的可行技术，由于吉首市生活垃圾焚烧发电厂正在进行建设中，还未正式运营，预计2022年下旬开始运行。本项目还未进行建设，预计运营时间为2022年8月。本环评要求本项目需在吉首市生活垃圾焚烧发电厂正式运营后方可运行，便于废水依托其污水处理站进行处理。</w:t>
            </w:r>
            <w:r>
              <w:rPr>
                <w:rFonts w:hint="default"/>
                <w:u w:val="single"/>
                <w:lang w:val="en-US" w:eastAsia="zh-CN"/>
              </w:rPr>
              <w:t>故</w:t>
            </w:r>
            <w:r>
              <w:rPr>
                <w:rFonts w:hint="eastAsia"/>
                <w:u w:val="single"/>
                <w:lang w:val="en-US" w:eastAsia="zh-CN"/>
              </w:rPr>
              <w:t>本项目生活废水依托吉首市生活垃圾焚烧发电厂生活污水处理站进行处理是可行的。</w:t>
            </w:r>
            <w:r>
              <w:rPr>
                <w:rFonts w:hint="default"/>
                <w:u w:val="single"/>
                <w:lang w:val="en-US" w:eastAsia="zh-CN"/>
              </w:rPr>
              <w:t>故</w:t>
            </w:r>
            <w:r>
              <w:rPr>
                <w:rFonts w:hint="eastAsia"/>
                <w:u w:val="single"/>
                <w:lang w:val="en-US" w:eastAsia="zh-CN"/>
              </w:rPr>
              <w:t>本项目废水依托吉首市生活垃圾焚烧发电厂渗滤液污水处理站进行处理是可行的。项目废水接纳协议正在进行办理。</w:t>
            </w:r>
          </w:p>
          <w:p>
            <w:pPr>
              <w:rPr>
                <w:rFonts w:hint="eastAsia" w:eastAsia="宋体"/>
                <w:u w:val="single"/>
                <w:lang w:eastAsia="zh-CN"/>
              </w:rPr>
            </w:pPr>
            <w:r>
              <w:rPr>
                <w:rFonts w:hint="eastAsia" w:cs="Times New Roman"/>
                <w:b/>
                <w:bCs/>
                <w:sz w:val="24"/>
                <w:highlight w:val="none"/>
                <w:u w:val="single"/>
                <w:lang w:val="en-US" w:eastAsia="zh-CN"/>
              </w:rPr>
              <w:t>凤凰县污水处理厂依托可行性分析：</w:t>
            </w:r>
          </w:p>
          <w:p>
            <w:pPr>
              <w:numPr>
                <w:ilvl w:val="0"/>
                <w:numId w:val="5"/>
              </w:numPr>
              <w:bidi w:val="0"/>
              <w:ind w:left="80" w:leftChars="0" w:firstLineChars="0"/>
              <w:rPr>
                <w:rFonts w:hint="eastAsia"/>
                <w:u w:val="single"/>
                <w:lang w:eastAsia="zh-CN"/>
              </w:rPr>
            </w:pPr>
            <w:r>
              <w:rPr>
                <w:rFonts w:hint="eastAsia"/>
                <w:u w:val="single"/>
                <w:lang w:eastAsia="zh-CN"/>
              </w:rPr>
              <w:t>水量分析</w:t>
            </w:r>
          </w:p>
          <w:p>
            <w:pPr>
              <w:bidi w:val="0"/>
              <w:rPr>
                <w:rFonts w:hint="eastAsia"/>
                <w:u w:val="single"/>
                <w:lang w:eastAsia="zh-CN"/>
              </w:rPr>
            </w:pPr>
            <w:r>
              <w:rPr>
                <w:rFonts w:hint="eastAsia"/>
                <w:u w:val="single"/>
                <w:lang w:val="en-US" w:eastAsia="zh-CN"/>
              </w:rPr>
              <w:t>凤凰县垃圾填埋场排入凤凰县污水处理厂的日平均废水量为80t/d，凤凰县污水处理厂实际建设规模为20000m</w:t>
            </w:r>
            <w:r>
              <w:rPr>
                <w:rFonts w:hint="eastAsia"/>
                <w:u w:val="single"/>
                <w:vertAlign w:val="superscript"/>
                <w:lang w:val="en-US" w:eastAsia="zh-CN"/>
              </w:rPr>
              <w:t>3</w:t>
            </w:r>
            <w:r>
              <w:rPr>
                <w:rFonts w:hint="eastAsia"/>
                <w:u w:val="single"/>
                <w:lang w:val="en-US" w:eastAsia="zh-CN"/>
              </w:rPr>
              <w:t>/d。污水处理站日常余量为10000t/d。凤凰县垃圾填埋场排入凤凰县污水处理厂废水量日最大为82.2t/d（包括本项目废水）。则本项目即使在最大日废水量，其凤凰县污水处理厂依然可以接纳本项目的废水量。</w:t>
            </w:r>
          </w:p>
          <w:p>
            <w:pPr>
              <w:pStyle w:val="2"/>
              <w:numPr>
                <w:ilvl w:val="0"/>
                <w:numId w:val="5"/>
              </w:numPr>
              <w:ind w:left="80" w:leftChars="0" w:firstLineChars="0"/>
              <w:rPr>
                <w:rFonts w:hint="eastAsia"/>
                <w:u w:val="single"/>
                <w:lang w:eastAsia="zh-CN"/>
              </w:rPr>
            </w:pPr>
            <w:r>
              <w:rPr>
                <w:rFonts w:hint="eastAsia"/>
                <w:u w:val="single"/>
                <w:lang w:eastAsia="zh-CN"/>
              </w:rPr>
              <w:t>水质分析</w:t>
            </w:r>
          </w:p>
          <w:p>
            <w:pPr>
              <w:bidi w:val="0"/>
              <w:rPr>
                <w:rFonts w:hint="eastAsia"/>
                <w:u w:val="single"/>
                <w:lang w:eastAsia="zh-CN"/>
              </w:rPr>
            </w:pPr>
            <w:r>
              <w:rPr>
                <w:rFonts w:hint="eastAsia"/>
                <w:u w:val="single"/>
                <w:lang w:eastAsia="zh-CN"/>
              </w:rPr>
              <w:t>凤凰县垃圾填埋场渗滤液处理达到</w:t>
            </w:r>
            <w:r>
              <w:rPr>
                <w:rFonts w:hint="default"/>
                <w:u w:val="single"/>
              </w:rPr>
              <w:t>生活垃圾填埋污染控制标准》(GB16889-97)</w:t>
            </w:r>
            <w:r>
              <w:rPr>
                <w:rFonts w:hint="eastAsia"/>
                <w:u w:val="single"/>
                <w:lang w:eastAsia="zh-CN"/>
              </w:rPr>
              <w:t>表</w:t>
            </w:r>
            <w:r>
              <w:rPr>
                <w:rFonts w:hint="eastAsia"/>
                <w:u w:val="single"/>
                <w:lang w:val="en-US" w:eastAsia="zh-CN"/>
              </w:rPr>
              <w:t>2</w:t>
            </w:r>
            <w:r>
              <w:rPr>
                <w:rFonts w:hint="default"/>
                <w:u w:val="single"/>
              </w:rPr>
              <w:t>标准</w:t>
            </w:r>
            <w:r>
              <w:rPr>
                <w:rFonts w:hint="eastAsia"/>
                <w:u w:val="single"/>
                <w:lang w:eastAsia="zh-CN"/>
              </w:rPr>
              <w:t>后经专用管道排放至凤凰县污水处理厂深度处理，其凤凰县污水处理厂进水水质要求如下</w:t>
            </w:r>
          </w:p>
          <w:p>
            <w:pPr>
              <w:pStyle w:val="4"/>
              <w:jc w:val="center"/>
              <w:rPr>
                <w:rFonts w:hint="eastAsia" w:ascii="Times New Roman" w:hAnsi="Times New Roman" w:cs="Times New Roman"/>
                <w:b/>
                <w:bCs/>
                <w:u w:val="single"/>
                <w:lang w:val="en-US" w:eastAsia="zh-CN"/>
              </w:rPr>
            </w:pPr>
            <w:r>
              <w:rPr>
                <w:rFonts w:hint="default" w:ascii="Times New Roman" w:hAnsi="Times New Roman" w:cs="Times New Roman"/>
                <w:b/>
                <w:bCs/>
                <w:u w:val="single"/>
                <w:lang w:val="en-US" w:eastAsia="zh-CN"/>
              </w:rPr>
              <w:t>表</w:t>
            </w:r>
            <w:r>
              <w:rPr>
                <w:rFonts w:hint="eastAsia" w:ascii="Times New Roman" w:cs="Times New Roman"/>
                <w:b/>
                <w:bCs/>
                <w:u w:val="single"/>
                <w:lang w:val="en-US" w:eastAsia="zh-CN"/>
              </w:rPr>
              <w:t>4</w:t>
            </w:r>
            <w:r>
              <w:rPr>
                <w:rFonts w:hint="default" w:ascii="Times New Roman" w:hAnsi="Times New Roman" w:cs="Times New Roman"/>
                <w:b/>
                <w:bCs/>
                <w:u w:val="single"/>
                <w:lang w:val="en-US" w:eastAsia="zh-CN"/>
              </w:rPr>
              <w:t>-</w:t>
            </w:r>
            <w:r>
              <w:rPr>
                <w:rFonts w:hint="eastAsia" w:ascii="Times New Roman" w:cs="Times New Roman"/>
                <w:b/>
                <w:bCs/>
                <w:u w:val="single"/>
                <w:lang w:val="en-US" w:eastAsia="zh-CN"/>
              </w:rPr>
              <w:t>13</w:t>
            </w:r>
            <w:r>
              <w:rPr>
                <w:rFonts w:hint="default" w:ascii="Times New Roman" w:hAnsi="Times New Roman" w:cs="Times New Roman"/>
                <w:b/>
                <w:bCs/>
                <w:u w:val="single"/>
                <w:lang w:val="en-US" w:eastAsia="zh-CN"/>
              </w:rPr>
              <w:t xml:space="preserve">  </w:t>
            </w:r>
            <w:r>
              <w:rPr>
                <w:rFonts w:hint="eastAsia" w:ascii="Times New Roman" w:cs="Times New Roman"/>
                <w:b/>
                <w:bCs/>
                <w:u w:val="single"/>
                <w:lang w:val="en-US" w:eastAsia="zh-CN"/>
              </w:rPr>
              <w:t>本项目废水与</w:t>
            </w:r>
            <w:r>
              <w:rPr>
                <w:rFonts w:hint="default" w:ascii="Times New Roman" w:hAnsi="Times New Roman" w:cs="Times New Roman"/>
                <w:b/>
                <w:bCs/>
                <w:u w:val="single"/>
                <w:lang w:val="en-US" w:eastAsia="zh-CN"/>
              </w:rPr>
              <w:t>垃圾渗滤液设计进水水质指标</w:t>
            </w:r>
            <w:r>
              <w:rPr>
                <w:rFonts w:hint="eastAsia" w:ascii="Times New Roman" w:cs="Times New Roman"/>
                <w:b/>
                <w:bCs/>
                <w:u w:val="single"/>
                <w:lang w:val="en-US" w:eastAsia="zh-CN"/>
              </w:rPr>
              <w:t>对照</w:t>
            </w:r>
            <w:r>
              <w:rPr>
                <w:rFonts w:hint="default" w:ascii="Times New Roman" w:hAnsi="Times New Roman" w:cs="Times New Roman"/>
                <w:b/>
                <w:bCs/>
                <w:u w:val="single"/>
                <w:lang w:val="en-US" w:eastAsia="zh-CN"/>
              </w:rPr>
              <w:t>表</w:t>
            </w:r>
            <w:r>
              <w:rPr>
                <w:rFonts w:hint="eastAsia" w:ascii="Times New Roman" w:hAnsi="Times New Roman" w:cs="Times New Roman"/>
                <w:b/>
                <w:bCs/>
                <w:u w:val="single"/>
                <w:lang w:val="en-US" w:eastAsia="zh-CN"/>
              </w:rPr>
              <w:t xml:space="preserve">     </w:t>
            </w:r>
            <w:r>
              <w:rPr>
                <w:rFonts w:hint="default" w:ascii="Times New Roman" w:hAnsi="Times New Roman" w:cs="Times New Roman"/>
                <w:b/>
                <w:bCs/>
                <w:u w:val="single"/>
                <w:lang w:val="en-US" w:eastAsia="zh-CN"/>
              </w:rPr>
              <w:t>单位：mg/L</w:t>
            </w:r>
          </w:p>
          <w:tbl>
            <w:tblPr>
              <w:tblStyle w:val="31"/>
              <w:tblW w:w="8617"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246"/>
              <w:gridCol w:w="1500"/>
              <w:gridCol w:w="1440"/>
              <w:gridCol w:w="1412"/>
              <w:gridCol w:w="1101"/>
              <w:gridCol w:w="91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2246"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b/>
                      <w:bCs/>
                      <w:u w:val="single"/>
                      <w:vertAlign w:val="baseline"/>
                      <w:lang w:val="en-US" w:eastAsia="zh-CN"/>
                    </w:rPr>
                  </w:pPr>
                  <w:r>
                    <w:rPr>
                      <w:rFonts w:hint="eastAsia" w:ascii="Times New Roman" w:cs="Times New Roman"/>
                      <w:b/>
                      <w:bCs/>
                      <w:u w:val="single"/>
                      <w:vertAlign w:val="baseline"/>
                      <w:lang w:val="en-US" w:eastAsia="zh-CN"/>
                    </w:rPr>
                    <w:t>废水污染物指标</w:t>
                  </w:r>
                </w:p>
              </w:tc>
              <w:tc>
                <w:tcPr>
                  <w:tcW w:w="1500"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cs="Times New Roman"/>
                      <w:b/>
                      <w:bCs/>
                      <w:u w:val="single"/>
                      <w:vertAlign w:val="baseline"/>
                      <w:lang w:val="en-US" w:eastAsia="zh-CN"/>
                    </w:rPr>
                  </w:pPr>
                  <w:r>
                    <w:rPr>
                      <w:rFonts w:hint="default" w:ascii="Times New Roman" w:hAnsi="Times New Roman" w:cs="Times New Roman"/>
                      <w:b/>
                      <w:bCs/>
                      <w:u w:val="single"/>
                      <w:vertAlign w:val="baseline"/>
                      <w:lang w:val="en-US" w:eastAsia="zh-CN"/>
                    </w:rPr>
                    <w:t>COD</w:t>
                  </w:r>
                  <w:r>
                    <w:rPr>
                      <w:rFonts w:hint="default" w:ascii="Times New Roman" w:hAnsi="Times New Roman" w:cs="Times New Roman"/>
                      <w:b/>
                      <w:bCs/>
                      <w:u w:val="single"/>
                      <w:vertAlign w:val="subscript"/>
                      <w:lang w:val="en-US" w:eastAsia="zh-CN"/>
                    </w:rPr>
                    <w:t>Cr</w:t>
                  </w:r>
                </w:p>
              </w:tc>
              <w:tc>
                <w:tcPr>
                  <w:tcW w:w="1440"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cs="Times New Roman"/>
                      <w:b/>
                      <w:bCs/>
                      <w:u w:val="single"/>
                      <w:vertAlign w:val="baseline"/>
                      <w:lang w:val="en-US" w:eastAsia="zh-CN"/>
                    </w:rPr>
                  </w:pPr>
                  <w:r>
                    <w:rPr>
                      <w:rFonts w:hint="default" w:ascii="Times New Roman" w:hAnsi="Times New Roman" w:cs="Times New Roman"/>
                      <w:b/>
                      <w:bCs/>
                      <w:u w:val="single"/>
                      <w:vertAlign w:val="baseline"/>
                      <w:lang w:val="en-US" w:eastAsia="zh-CN"/>
                    </w:rPr>
                    <w:t>BOD</w:t>
                  </w:r>
                  <w:r>
                    <w:rPr>
                      <w:rFonts w:hint="default" w:ascii="Times New Roman" w:hAnsi="Times New Roman" w:cs="Times New Roman"/>
                      <w:b/>
                      <w:bCs/>
                      <w:u w:val="single"/>
                      <w:vertAlign w:val="subscript"/>
                      <w:lang w:val="en-US" w:eastAsia="zh-CN"/>
                    </w:rPr>
                    <w:t>5</w:t>
                  </w:r>
                </w:p>
              </w:tc>
              <w:tc>
                <w:tcPr>
                  <w:tcW w:w="1412"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cs="Times New Roman"/>
                      <w:b/>
                      <w:bCs/>
                      <w:u w:val="single"/>
                      <w:vertAlign w:val="baseline"/>
                      <w:lang w:val="en-US" w:eastAsia="zh-CN"/>
                    </w:rPr>
                  </w:pPr>
                  <w:r>
                    <w:rPr>
                      <w:rFonts w:hint="default" w:ascii="Times New Roman" w:hAnsi="Times New Roman" w:cs="Times New Roman"/>
                      <w:b/>
                      <w:bCs/>
                      <w:u w:val="single"/>
                      <w:vertAlign w:val="baseline"/>
                      <w:lang w:val="en-US" w:eastAsia="zh-CN"/>
                    </w:rPr>
                    <w:t>NH</w:t>
                  </w:r>
                  <w:r>
                    <w:rPr>
                      <w:rFonts w:hint="default" w:ascii="Times New Roman" w:hAnsi="Times New Roman" w:cs="Times New Roman"/>
                      <w:b/>
                      <w:bCs/>
                      <w:u w:val="single"/>
                      <w:vertAlign w:val="subscript"/>
                      <w:lang w:val="en-US" w:eastAsia="zh-CN"/>
                    </w:rPr>
                    <w:t>3</w:t>
                  </w:r>
                  <w:r>
                    <w:rPr>
                      <w:rFonts w:hint="default" w:ascii="Times New Roman" w:hAnsi="Times New Roman" w:cs="Times New Roman"/>
                      <w:b/>
                      <w:bCs/>
                      <w:u w:val="single"/>
                      <w:vertAlign w:val="baseline"/>
                      <w:lang w:val="en-US" w:eastAsia="zh-CN"/>
                    </w:rPr>
                    <w:t>-N</w:t>
                  </w:r>
                </w:p>
              </w:tc>
              <w:tc>
                <w:tcPr>
                  <w:tcW w:w="1101"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b/>
                      <w:bCs/>
                      <w:u w:val="single"/>
                      <w:vertAlign w:val="baseline"/>
                      <w:lang w:val="en-US" w:eastAsia="zh-CN"/>
                    </w:rPr>
                  </w:pPr>
                  <w:r>
                    <w:rPr>
                      <w:rFonts w:hint="eastAsia" w:ascii="Times New Roman" w:cs="Times New Roman"/>
                      <w:b/>
                      <w:bCs/>
                      <w:u w:val="single"/>
                      <w:vertAlign w:val="baseline"/>
                      <w:lang w:val="en-US" w:eastAsia="zh-CN"/>
                    </w:rPr>
                    <w:t>SS</w:t>
                  </w:r>
                </w:p>
              </w:tc>
              <w:tc>
                <w:tcPr>
                  <w:tcW w:w="918"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b/>
                      <w:bCs/>
                      <w:u w:val="single"/>
                      <w:vertAlign w:val="baseline"/>
                      <w:lang w:val="en-US" w:eastAsia="zh-CN"/>
                    </w:rPr>
                  </w:pPr>
                  <w:r>
                    <w:rPr>
                      <w:rFonts w:hint="eastAsia" w:ascii="Times New Roman" w:cs="Times New Roman"/>
                      <w:b/>
                      <w:bCs/>
                      <w:u w:val="single"/>
                      <w:vertAlign w:val="baseline"/>
                      <w:lang w:val="en-US" w:eastAsia="zh-CN"/>
                    </w:rPr>
                    <w:t>pH</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2246"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u w:val="single"/>
                      <w:vertAlign w:val="baseline"/>
                      <w:lang w:val="en-US" w:eastAsia="zh-CN"/>
                    </w:rPr>
                  </w:pPr>
                  <w:r>
                    <w:rPr>
                      <w:rFonts w:hint="eastAsia" w:ascii="Times New Roman" w:cs="Times New Roman"/>
                      <w:u w:val="single"/>
                      <w:vertAlign w:val="baseline"/>
                      <w:lang w:val="en-US" w:eastAsia="zh-CN"/>
                    </w:rPr>
                    <w:t>渗滤液产生浓度</w:t>
                  </w:r>
                </w:p>
              </w:tc>
              <w:tc>
                <w:tcPr>
                  <w:tcW w:w="1500"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u w:val="single"/>
                      <w:vertAlign w:val="baseline"/>
                      <w:lang w:val="en-US" w:eastAsia="zh-CN"/>
                    </w:rPr>
                  </w:pPr>
                  <w:r>
                    <w:rPr>
                      <w:rFonts w:hint="default" w:ascii="Times New Roman" w:hAnsi="Times New Roman" w:cs="Times New Roman"/>
                      <w:u w:val="single"/>
                      <w:vertAlign w:val="baseline"/>
                      <w:lang w:val="en-US" w:eastAsia="zh-CN"/>
                    </w:rPr>
                    <w:t>13800</w:t>
                  </w:r>
                </w:p>
              </w:tc>
              <w:tc>
                <w:tcPr>
                  <w:tcW w:w="1440"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u w:val="single"/>
                      <w:vertAlign w:val="baseline"/>
                      <w:lang w:val="en-US" w:eastAsia="zh-CN"/>
                    </w:rPr>
                  </w:pPr>
                  <w:r>
                    <w:rPr>
                      <w:rFonts w:hint="default" w:ascii="Times New Roman" w:hAnsi="Times New Roman" w:cs="Times New Roman"/>
                      <w:u w:val="single"/>
                      <w:vertAlign w:val="baseline"/>
                      <w:lang w:val="en-US" w:eastAsia="zh-CN"/>
                    </w:rPr>
                    <w:t>5600</w:t>
                  </w:r>
                </w:p>
              </w:tc>
              <w:tc>
                <w:tcPr>
                  <w:tcW w:w="1412"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u w:val="single"/>
                      <w:vertAlign w:val="baseline"/>
                      <w:lang w:val="en-US" w:eastAsia="zh-CN"/>
                    </w:rPr>
                  </w:pPr>
                  <w:r>
                    <w:rPr>
                      <w:rFonts w:hint="default" w:ascii="Times New Roman" w:hAnsi="Times New Roman" w:cs="Times New Roman"/>
                      <w:u w:val="single"/>
                      <w:vertAlign w:val="baseline"/>
                      <w:lang w:val="en-US" w:eastAsia="zh-CN"/>
                    </w:rPr>
                    <w:t>1600</w:t>
                  </w:r>
                </w:p>
              </w:tc>
              <w:tc>
                <w:tcPr>
                  <w:tcW w:w="1101"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cs="Times New Roman"/>
                      <w:u w:val="single"/>
                      <w:vertAlign w:val="baseline"/>
                      <w:lang w:val="en-US" w:eastAsia="zh-CN"/>
                    </w:rPr>
                  </w:pPr>
                  <w:r>
                    <w:rPr>
                      <w:rFonts w:hint="eastAsia" w:ascii="Times New Roman" w:cs="Times New Roman"/>
                      <w:u w:val="single"/>
                      <w:vertAlign w:val="baseline"/>
                      <w:lang w:val="en-US" w:eastAsia="zh-CN"/>
                    </w:rPr>
                    <w:t>/</w:t>
                  </w:r>
                </w:p>
              </w:tc>
              <w:tc>
                <w:tcPr>
                  <w:tcW w:w="918"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cs="Times New Roman"/>
                      <w:u w:val="single"/>
                      <w:vertAlign w:val="baseline"/>
                      <w:lang w:val="en-US" w:eastAsia="zh-CN"/>
                    </w:rPr>
                  </w:pPr>
                  <w:r>
                    <w:rPr>
                      <w:rFonts w:hint="eastAsia" w:ascii="Times New Roman" w:cs="Times New Roman"/>
                      <w:u w:val="single"/>
                      <w:vertAlign w:val="baseline"/>
                      <w:lang w:val="en-US" w:eastAsia="zh-CN"/>
                    </w:rPr>
                    <w:t>6.0-9.0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2246"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u w:val="single"/>
                      <w:vertAlign w:val="baseline"/>
                      <w:lang w:val="en-US" w:eastAsia="zh-CN"/>
                    </w:rPr>
                  </w:pPr>
                  <w:r>
                    <w:rPr>
                      <w:rFonts w:hint="eastAsia" w:ascii="Times New Roman" w:cs="Times New Roman"/>
                      <w:u w:val="single"/>
                      <w:vertAlign w:val="baseline"/>
                      <w:lang w:val="en-US" w:eastAsia="zh-CN"/>
                    </w:rPr>
                    <w:t>设备、场地冲洗废水产生浓度</w:t>
                  </w:r>
                </w:p>
              </w:tc>
              <w:tc>
                <w:tcPr>
                  <w:tcW w:w="1500"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u w:val="single"/>
                      <w:vertAlign w:val="baseline"/>
                      <w:lang w:val="en-US" w:eastAsia="zh-CN"/>
                    </w:rPr>
                  </w:pPr>
                  <w:r>
                    <w:rPr>
                      <w:rFonts w:hint="eastAsia" w:ascii="Times New Roman" w:cs="Times New Roman"/>
                      <w:u w:val="single"/>
                      <w:vertAlign w:val="baseline"/>
                      <w:lang w:val="en-US" w:eastAsia="zh-CN"/>
                    </w:rPr>
                    <w:t>1200</w:t>
                  </w:r>
                </w:p>
              </w:tc>
              <w:tc>
                <w:tcPr>
                  <w:tcW w:w="1440"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u w:val="single"/>
                      <w:vertAlign w:val="baseline"/>
                      <w:lang w:val="en-US" w:eastAsia="zh-CN"/>
                    </w:rPr>
                  </w:pPr>
                  <w:r>
                    <w:rPr>
                      <w:rFonts w:hint="eastAsia" w:ascii="Times New Roman" w:cs="Times New Roman"/>
                      <w:u w:val="single"/>
                      <w:vertAlign w:val="baseline"/>
                      <w:lang w:val="en-US" w:eastAsia="zh-CN"/>
                    </w:rPr>
                    <w:t>600</w:t>
                  </w:r>
                </w:p>
              </w:tc>
              <w:tc>
                <w:tcPr>
                  <w:tcW w:w="1412"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u w:val="single"/>
                      <w:vertAlign w:val="baseline"/>
                      <w:lang w:val="en-US" w:eastAsia="zh-CN"/>
                    </w:rPr>
                  </w:pPr>
                  <w:r>
                    <w:rPr>
                      <w:rFonts w:hint="eastAsia" w:ascii="Times New Roman" w:cs="Times New Roman"/>
                      <w:u w:val="single"/>
                      <w:vertAlign w:val="baseline"/>
                      <w:lang w:val="en-US" w:eastAsia="zh-CN"/>
                    </w:rPr>
                    <w:t>20</w:t>
                  </w:r>
                </w:p>
              </w:tc>
              <w:tc>
                <w:tcPr>
                  <w:tcW w:w="1101"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cs="Times New Roman"/>
                      <w:u w:val="single"/>
                      <w:vertAlign w:val="baseline"/>
                      <w:lang w:val="en-US" w:eastAsia="zh-CN"/>
                    </w:rPr>
                  </w:pPr>
                  <w:r>
                    <w:rPr>
                      <w:rFonts w:hint="eastAsia" w:ascii="Times New Roman" w:cs="Times New Roman"/>
                      <w:u w:val="single"/>
                      <w:vertAlign w:val="baseline"/>
                      <w:lang w:val="en-US" w:eastAsia="zh-CN"/>
                    </w:rPr>
                    <w:t>500</w:t>
                  </w:r>
                </w:p>
              </w:tc>
              <w:tc>
                <w:tcPr>
                  <w:tcW w:w="918"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cs="Times New Roman"/>
                      <w:u w:val="single"/>
                      <w:vertAlign w:val="baseline"/>
                      <w:lang w:val="en-US" w:eastAsia="zh-CN"/>
                    </w:rPr>
                  </w:pPr>
                  <w:r>
                    <w:rPr>
                      <w:rFonts w:hint="eastAsia" w:ascii="Times New Roman" w:cs="Times New Roman"/>
                      <w:u w:val="single"/>
                      <w:vertAlign w:val="baseline"/>
                      <w:lang w:val="en-US" w:eastAsia="zh-CN"/>
                    </w:rPr>
                    <w:t>6.0-9.0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2246"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u w:val="single"/>
                      <w:vertAlign w:val="baseline"/>
                      <w:lang w:val="en-US" w:eastAsia="zh-CN"/>
                    </w:rPr>
                  </w:pPr>
                  <w:r>
                    <w:rPr>
                      <w:rFonts w:hint="eastAsia" w:ascii="Times New Roman" w:cs="Times New Roman"/>
                      <w:u w:val="single"/>
                      <w:vertAlign w:val="baseline"/>
                      <w:lang w:val="en-US" w:eastAsia="zh-CN"/>
                    </w:rPr>
                    <w:t>渗滤液污水处理站进水水质要求</w:t>
                  </w:r>
                </w:p>
              </w:tc>
              <w:tc>
                <w:tcPr>
                  <w:tcW w:w="1500"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u w:val="single"/>
                      <w:vertAlign w:val="baseline"/>
                      <w:lang w:val="en-US" w:eastAsia="zh-CN"/>
                    </w:rPr>
                  </w:pPr>
                  <w:r>
                    <w:rPr>
                      <w:rFonts w:hint="eastAsia" w:ascii="Times New Roman" w:cs="Times New Roman"/>
                      <w:u w:val="single"/>
                      <w:vertAlign w:val="baseline"/>
                      <w:lang w:val="en-US" w:eastAsia="zh-CN"/>
                    </w:rPr>
                    <w:t>60000</w:t>
                  </w:r>
                </w:p>
              </w:tc>
              <w:tc>
                <w:tcPr>
                  <w:tcW w:w="1440"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u w:val="single"/>
                      <w:vertAlign w:val="baseline"/>
                      <w:lang w:val="en-US" w:eastAsia="zh-CN"/>
                    </w:rPr>
                  </w:pPr>
                  <w:r>
                    <w:rPr>
                      <w:rFonts w:hint="default" w:ascii="Times New Roman" w:hAnsi="Times New Roman" w:cs="Times New Roman"/>
                      <w:u w:val="single"/>
                      <w:vertAlign w:val="baseline"/>
                      <w:lang w:val="en-US" w:eastAsia="zh-CN"/>
                    </w:rPr>
                    <w:t>3000</w:t>
                  </w:r>
                  <w:r>
                    <w:rPr>
                      <w:rFonts w:hint="eastAsia" w:ascii="Times New Roman" w:cs="Times New Roman"/>
                      <w:u w:val="single"/>
                      <w:vertAlign w:val="baseline"/>
                      <w:lang w:val="en-US" w:eastAsia="zh-CN"/>
                    </w:rPr>
                    <w:t>0</w:t>
                  </w:r>
                </w:p>
              </w:tc>
              <w:tc>
                <w:tcPr>
                  <w:tcW w:w="1412"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u w:val="single"/>
                      <w:vertAlign w:val="baseline"/>
                      <w:lang w:val="en-US" w:eastAsia="zh-CN"/>
                    </w:rPr>
                  </w:pPr>
                  <w:r>
                    <w:rPr>
                      <w:rFonts w:hint="eastAsia" w:ascii="Times New Roman" w:cs="Times New Roman"/>
                      <w:u w:val="single"/>
                      <w:vertAlign w:val="baseline"/>
                      <w:lang w:val="en-US" w:eastAsia="zh-CN"/>
                    </w:rPr>
                    <w:t>2500</w:t>
                  </w:r>
                </w:p>
              </w:tc>
              <w:tc>
                <w:tcPr>
                  <w:tcW w:w="1101"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u w:val="single"/>
                      <w:vertAlign w:val="baseline"/>
                      <w:lang w:val="en-US" w:eastAsia="zh-CN"/>
                    </w:rPr>
                  </w:pPr>
                  <w:r>
                    <w:rPr>
                      <w:rFonts w:hint="eastAsia" w:ascii="Times New Roman" w:cs="Times New Roman"/>
                      <w:u w:val="single"/>
                      <w:vertAlign w:val="baseline"/>
                      <w:lang w:val="en-US" w:eastAsia="zh-CN"/>
                    </w:rPr>
                    <w:t>10000</w:t>
                  </w:r>
                </w:p>
              </w:tc>
              <w:tc>
                <w:tcPr>
                  <w:tcW w:w="918"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u w:val="single"/>
                      <w:vertAlign w:val="baseline"/>
                      <w:lang w:val="en-US" w:eastAsia="zh-CN"/>
                    </w:rPr>
                  </w:pPr>
                  <w:r>
                    <w:rPr>
                      <w:rFonts w:hint="eastAsia" w:ascii="Times New Roman" w:cs="Times New Roman"/>
                      <w:u w:val="single"/>
                      <w:vertAlign w:val="baseline"/>
                      <w:lang w:val="en-US" w:eastAsia="zh-CN"/>
                    </w:rPr>
                    <w:t>6.0-9.0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2246"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cs="Times New Roman"/>
                      <w:u w:val="single"/>
                      <w:vertAlign w:val="baseline"/>
                      <w:lang w:val="en-US" w:eastAsia="zh-CN"/>
                    </w:rPr>
                  </w:pPr>
                  <w:r>
                    <w:rPr>
                      <w:rFonts w:hint="eastAsia" w:ascii="Times New Roman" w:cs="Times New Roman"/>
                      <w:u w:val="single"/>
                      <w:vertAlign w:val="baseline"/>
                      <w:lang w:val="en-US" w:eastAsia="zh-CN"/>
                    </w:rPr>
                    <w:t>是否达到进水水质要求</w:t>
                  </w:r>
                </w:p>
              </w:tc>
              <w:tc>
                <w:tcPr>
                  <w:tcW w:w="1500"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cs="Times New Roman"/>
                      <w:u w:val="single"/>
                      <w:vertAlign w:val="baseline"/>
                      <w:lang w:val="en-US" w:eastAsia="zh-CN"/>
                    </w:rPr>
                  </w:pPr>
                  <w:r>
                    <w:rPr>
                      <w:rFonts w:hint="eastAsia" w:ascii="Times New Roman" w:cs="Times New Roman"/>
                      <w:u w:val="single"/>
                      <w:vertAlign w:val="baseline"/>
                      <w:lang w:val="en-US" w:eastAsia="zh-CN"/>
                    </w:rPr>
                    <w:t>是</w:t>
                  </w:r>
                </w:p>
              </w:tc>
              <w:tc>
                <w:tcPr>
                  <w:tcW w:w="1440"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cs="Times New Roman"/>
                      <w:u w:val="single"/>
                      <w:vertAlign w:val="baseline"/>
                      <w:lang w:val="en-US" w:eastAsia="zh-CN"/>
                    </w:rPr>
                  </w:pPr>
                  <w:r>
                    <w:rPr>
                      <w:rFonts w:hint="eastAsia" w:ascii="Times New Roman" w:cs="Times New Roman"/>
                      <w:u w:val="single"/>
                      <w:vertAlign w:val="baseline"/>
                      <w:lang w:val="en-US" w:eastAsia="zh-CN"/>
                    </w:rPr>
                    <w:t>是</w:t>
                  </w:r>
                </w:p>
              </w:tc>
              <w:tc>
                <w:tcPr>
                  <w:tcW w:w="1412"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cs="Times New Roman"/>
                      <w:u w:val="single"/>
                      <w:vertAlign w:val="baseline"/>
                      <w:lang w:val="en-US" w:eastAsia="zh-CN"/>
                    </w:rPr>
                  </w:pPr>
                  <w:r>
                    <w:rPr>
                      <w:rFonts w:hint="eastAsia" w:ascii="Times New Roman" w:cs="Times New Roman"/>
                      <w:u w:val="single"/>
                      <w:vertAlign w:val="baseline"/>
                      <w:lang w:val="en-US" w:eastAsia="zh-CN"/>
                    </w:rPr>
                    <w:t>是</w:t>
                  </w:r>
                </w:p>
              </w:tc>
              <w:tc>
                <w:tcPr>
                  <w:tcW w:w="1101"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cs="Times New Roman"/>
                      <w:u w:val="single"/>
                      <w:vertAlign w:val="baseline"/>
                      <w:lang w:val="en-US" w:eastAsia="zh-CN"/>
                    </w:rPr>
                  </w:pPr>
                  <w:r>
                    <w:rPr>
                      <w:rFonts w:hint="eastAsia" w:ascii="Times New Roman" w:cs="Times New Roman"/>
                      <w:u w:val="single"/>
                      <w:vertAlign w:val="baseline"/>
                      <w:lang w:val="en-US" w:eastAsia="zh-CN"/>
                    </w:rPr>
                    <w:t>是</w:t>
                  </w:r>
                </w:p>
              </w:tc>
              <w:tc>
                <w:tcPr>
                  <w:tcW w:w="918"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cs="Times New Roman"/>
                      <w:u w:val="single"/>
                      <w:vertAlign w:val="baseline"/>
                      <w:lang w:val="en-US" w:eastAsia="zh-CN"/>
                    </w:rPr>
                  </w:pPr>
                  <w:r>
                    <w:rPr>
                      <w:rFonts w:hint="eastAsia" w:ascii="Times New Roman" w:cs="Times New Roman"/>
                      <w:u w:val="single"/>
                      <w:vertAlign w:val="baseline"/>
                      <w:lang w:val="en-US" w:eastAsia="zh-CN"/>
                    </w:rPr>
                    <w:t>是</w:t>
                  </w:r>
                </w:p>
              </w:tc>
            </w:tr>
          </w:tbl>
          <w:p>
            <w:pPr>
              <w:pStyle w:val="2"/>
              <w:rPr>
                <w:rFonts w:hint="eastAsia" w:eastAsia="宋体"/>
                <w:u w:val="single"/>
                <w:lang w:eastAsia="zh-CN"/>
              </w:rPr>
            </w:pPr>
            <w:r>
              <w:rPr>
                <w:rFonts w:hint="eastAsia"/>
                <w:u w:val="single"/>
                <w:lang w:val="en-US" w:eastAsia="zh-CN"/>
              </w:rPr>
              <w:t>根据以上水量、水质分析，凤凰县垃圾填埋场废水依托凤凰县污水处理厂进行处理是可行的。废水接纳协议已办理</w:t>
            </w:r>
            <w:r>
              <w:rPr>
                <w:rFonts w:hint="eastAsia"/>
                <w:u w:val="single"/>
                <w:lang w:eastAsia="zh-CN"/>
              </w:rPr>
              <w:t>。</w:t>
            </w:r>
          </w:p>
          <w:p>
            <w:pPr>
              <w:bidi w:val="0"/>
              <w:rPr>
                <w:rFonts w:hint="eastAsia" w:eastAsia="宋体"/>
                <w:b/>
                <w:bCs/>
                <w:u w:val="single"/>
                <w:lang w:val="en-US" w:eastAsia="zh-CN"/>
              </w:rPr>
            </w:pPr>
            <w:r>
              <w:rPr>
                <w:rFonts w:hint="default"/>
                <w:b/>
                <w:bCs/>
                <w:u w:val="single"/>
                <w:lang w:val="en-US"/>
              </w:rPr>
              <w:t>生产废水暂存池容积合理性分析</w:t>
            </w:r>
            <w:r>
              <w:rPr>
                <w:rFonts w:hint="eastAsia"/>
                <w:b/>
                <w:bCs/>
                <w:u w:val="single"/>
                <w:lang w:val="en-US" w:eastAsia="zh-CN"/>
              </w:rPr>
              <w:t>：</w:t>
            </w:r>
          </w:p>
          <w:p>
            <w:pPr>
              <w:widowControl/>
              <w:wordWrap/>
              <w:ind w:firstLine="480"/>
              <w:jc w:val="both"/>
              <w:rPr>
                <w:rFonts w:ascii="Times New Roman" w:hAnsi="Times New Roman" w:cs="Times New Roman"/>
                <w:sz w:val="24"/>
                <w:u w:val="none"/>
              </w:rPr>
            </w:pPr>
            <w:r>
              <w:rPr>
                <w:rFonts w:ascii="Times New Roman" w:hAnsi="Times New Roman" w:cs="Times New Roman"/>
                <w:sz w:val="24"/>
                <w:u w:val="single"/>
              </w:rPr>
              <w:t>项目营运后，</w:t>
            </w:r>
            <w:r>
              <w:rPr>
                <w:rFonts w:hint="default" w:ascii="Times New Roman" w:hAnsi="Times New Roman" w:cs="Times New Roman"/>
                <w:highlight w:val="none"/>
                <w:u w:val="single"/>
                <w:lang w:val="en-US" w:eastAsia="zh-CN"/>
              </w:rPr>
              <w:t>项目冲洗废水以及垃圾渗滤液，总计</w:t>
            </w:r>
            <w:r>
              <w:rPr>
                <w:rFonts w:hint="eastAsia" w:cs="Times New Roman"/>
                <w:highlight w:val="none"/>
                <w:u w:val="single"/>
                <w:lang w:val="en-US" w:eastAsia="zh-CN"/>
              </w:rPr>
              <w:t>最大</w:t>
            </w:r>
            <w:r>
              <w:rPr>
                <w:rFonts w:hint="default" w:ascii="Times New Roman" w:hAnsi="Times New Roman" w:cs="Times New Roman"/>
                <w:highlight w:val="none"/>
                <w:u w:val="single"/>
                <w:lang w:val="en-US" w:eastAsia="zh-CN"/>
              </w:rPr>
              <w:t>产生量为</w:t>
            </w:r>
            <w:r>
              <w:rPr>
                <w:rFonts w:hint="eastAsia" w:cs="Times New Roman"/>
                <w:szCs w:val="21"/>
                <w:u w:val="single"/>
                <w:lang w:val="en-US" w:eastAsia="zh-CN"/>
              </w:rPr>
              <w:t>18.2</w:t>
            </w:r>
            <w:r>
              <w:rPr>
                <w:rStyle w:val="59"/>
                <w:rFonts w:hint="default" w:ascii="Times New Roman" w:hAnsi="Times New Roman" w:cs="Times New Roman"/>
                <w:color w:val="auto"/>
                <w:sz w:val="21"/>
                <w:szCs w:val="21"/>
                <w:u w:val="single"/>
              </w:rPr>
              <w:t>m</w:t>
            </w:r>
            <w:r>
              <w:rPr>
                <w:rStyle w:val="59"/>
                <w:rFonts w:hint="default" w:ascii="Times New Roman" w:hAnsi="Times New Roman" w:cs="Times New Roman"/>
                <w:color w:val="auto"/>
                <w:sz w:val="21"/>
                <w:szCs w:val="21"/>
                <w:u w:val="single"/>
                <w:vertAlign w:val="superscript"/>
              </w:rPr>
              <w:t>3</w:t>
            </w:r>
            <w:r>
              <w:rPr>
                <w:rStyle w:val="59"/>
                <w:rFonts w:hint="default" w:ascii="Times New Roman" w:hAnsi="Times New Roman" w:cs="Times New Roman"/>
                <w:color w:val="auto"/>
                <w:sz w:val="21"/>
                <w:szCs w:val="21"/>
                <w:u w:val="single"/>
              </w:rPr>
              <w:t>/d</w:t>
            </w:r>
            <w:r>
              <w:rPr>
                <w:rFonts w:ascii="Times New Roman" w:hAnsi="Times New Roman" w:cs="Times New Roman"/>
                <w:sz w:val="24"/>
                <w:u w:val="single"/>
              </w:rPr>
              <w:t>，利用</w:t>
            </w:r>
            <w:r>
              <w:rPr>
                <w:rFonts w:hint="eastAsia" w:cs="Times New Roman"/>
                <w:sz w:val="24"/>
                <w:u w:val="single"/>
                <w:lang w:val="en-US" w:eastAsia="zh-CN"/>
              </w:rPr>
              <w:t>20</w:t>
            </w:r>
            <w:r>
              <w:rPr>
                <w:rFonts w:ascii="Times New Roman" w:hAnsi="Times New Roman" w:cs="Times New Roman"/>
                <w:sz w:val="24"/>
                <w:u w:val="single"/>
              </w:rPr>
              <w:t>m</w:t>
            </w:r>
            <w:r>
              <w:rPr>
                <w:rFonts w:ascii="Times New Roman" w:hAnsi="Times New Roman" w:cs="Times New Roman"/>
                <w:sz w:val="24"/>
                <w:u w:val="single"/>
                <w:vertAlign w:val="superscript"/>
              </w:rPr>
              <w:t>3</w:t>
            </w:r>
            <w:r>
              <w:rPr>
                <w:rFonts w:hint="default" w:ascii="Times New Roman" w:hAnsi="Times New Roman" w:cs="Times New Roman"/>
                <w:sz w:val="24"/>
                <w:u w:val="single"/>
                <w:lang w:val="en-US" w:eastAsia="zh-CN"/>
              </w:rPr>
              <w:t>垃圾渗滤液收集池</w:t>
            </w:r>
            <w:r>
              <w:rPr>
                <w:rFonts w:ascii="Times New Roman" w:hAnsi="Times New Roman" w:cs="Times New Roman"/>
                <w:sz w:val="24"/>
                <w:u w:val="single"/>
              </w:rPr>
              <w:t>收集后</w:t>
            </w:r>
            <w:r>
              <w:rPr>
                <w:rFonts w:hint="eastAsia" w:cs="Times New Roman"/>
                <w:sz w:val="24"/>
                <w:u w:val="single"/>
                <w:lang w:val="en-US" w:eastAsia="zh-CN"/>
              </w:rPr>
              <w:t>通过污水提升泵及管道输送</w:t>
            </w:r>
            <w:r>
              <w:rPr>
                <w:rFonts w:hint="default" w:ascii="Times New Roman" w:hAnsi="Times New Roman" w:cs="Times New Roman"/>
                <w:sz w:val="24"/>
                <w:u w:val="single"/>
                <w:lang w:val="en-US" w:eastAsia="zh-CN"/>
              </w:rPr>
              <w:t>至</w:t>
            </w:r>
            <w:r>
              <w:rPr>
                <w:rFonts w:hint="eastAsia" w:cs="Times New Roman"/>
                <w:highlight w:val="none"/>
                <w:u w:val="single"/>
                <w:lang w:val="en-US" w:eastAsia="zh-CN"/>
              </w:rPr>
              <w:t>凤凰县垃圾填埋场</w:t>
            </w:r>
            <w:r>
              <w:rPr>
                <w:rFonts w:hint="default" w:ascii="Times New Roman" w:hAnsi="Times New Roman" w:cs="Times New Roman"/>
                <w:highlight w:val="none"/>
                <w:u w:val="single"/>
              </w:rPr>
              <w:t>渗滤液</w:t>
            </w:r>
            <w:r>
              <w:rPr>
                <w:rFonts w:hint="default" w:ascii="Times New Roman" w:hAnsi="Times New Roman" w:cs="Times New Roman"/>
                <w:highlight w:val="none"/>
                <w:u w:val="single"/>
                <w:lang w:val="en-US" w:eastAsia="zh-CN"/>
              </w:rPr>
              <w:t>处理</w:t>
            </w:r>
            <w:r>
              <w:rPr>
                <w:rFonts w:hint="eastAsia" w:cs="Times New Roman"/>
                <w:highlight w:val="none"/>
                <w:u w:val="single"/>
                <w:lang w:val="en-US" w:eastAsia="zh-CN"/>
              </w:rPr>
              <w:t>系统</w:t>
            </w:r>
            <w:r>
              <w:rPr>
                <w:rFonts w:hint="default" w:ascii="Times New Roman" w:hAnsi="Times New Roman" w:cs="Times New Roman"/>
                <w:highlight w:val="none"/>
                <w:u w:val="single"/>
                <w:lang w:val="en-US" w:eastAsia="zh-CN"/>
              </w:rPr>
              <w:t>处理</w:t>
            </w:r>
            <w:r>
              <w:rPr>
                <w:rFonts w:ascii="Times New Roman" w:hAnsi="Times New Roman" w:cs="Times New Roman"/>
                <w:sz w:val="24"/>
                <w:u w:val="single"/>
              </w:rPr>
              <w:t>。项目设置</w:t>
            </w:r>
            <w:r>
              <w:rPr>
                <w:rFonts w:hint="eastAsia" w:cs="Times New Roman"/>
                <w:sz w:val="24"/>
                <w:u w:val="single"/>
                <w:lang w:val="en-US" w:eastAsia="zh-CN"/>
              </w:rPr>
              <w:t>20</w:t>
            </w:r>
            <w:r>
              <w:rPr>
                <w:rFonts w:ascii="Times New Roman" w:hAnsi="Times New Roman" w:cs="Times New Roman"/>
                <w:sz w:val="24"/>
                <w:u w:val="single"/>
              </w:rPr>
              <w:t>m</w:t>
            </w:r>
            <w:r>
              <w:rPr>
                <w:rFonts w:ascii="Times New Roman" w:hAnsi="Times New Roman" w:cs="Times New Roman"/>
                <w:sz w:val="24"/>
                <w:u w:val="single"/>
                <w:vertAlign w:val="superscript"/>
              </w:rPr>
              <w:t>3</w:t>
            </w:r>
            <w:r>
              <w:rPr>
                <w:rFonts w:hint="default" w:ascii="Times New Roman" w:hAnsi="Times New Roman" w:cs="Times New Roman"/>
                <w:sz w:val="24"/>
                <w:u w:val="single"/>
                <w:lang w:val="en-US" w:eastAsia="zh-CN"/>
              </w:rPr>
              <w:t>垃圾渗滤液收集池</w:t>
            </w:r>
            <w:r>
              <w:rPr>
                <w:rFonts w:ascii="Times New Roman" w:hAnsi="Times New Roman" w:cs="Times New Roman"/>
                <w:sz w:val="24"/>
                <w:u w:val="single"/>
              </w:rPr>
              <w:t>，可容纳</w:t>
            </w:r>
            <w:r>
              <w:rPr>
                <w:rFonts w:hint="eastAsia" w:cs="Times New Roman"/>
                <w:sz w:val="24"/>
                <w:u w:val="single"/>
                <w:lang w:val="en-US" w:eastAsia="zh-CN"/>
              </w:rPr>
              <w:t>一天</w:t>
            </w:r>
            <w:r>
              <w:rPr>
                <w:rFonts w:ascii="Times New Roman" w:hAnsi="Times New Roman" w:cs="Times New Roman"/>
                <w:sz w:val="24"/>
                <w:u w:val="single"/>
              </w:rPr>
              <w:t>的</w:t>
            </w:r>
            <w:r>
              <w:rPr>
                <w:rFonts w:hint="default" w:ascii="Times New Roman" w:hAnsi="Times New Roman" w:cs="Times New Roman"/>
                <w:sz w:val="24"/>
                <w:u w:val="single"/>
                <w:lang w:val="en-US" w:eastAsia="zh-CN"/>
              </w:rPr>
              <w:t>生产废水</w:t>
            </w:r>
            <w:r>
              <w:rPr>
                <w:rFonts w:ascii="Times New Roman" w:hAnsi="Times New Roman" w:cs="Times New Roman"/>
                <w:sz w:val="24"/>
                <w:u w:val="single"/>
              </w:rPr>
              <w:t>产生量</w:t>
            </w:r>
            <w:r>
              <w:rPr>
                <w:rFonts w:hint="default" w:ascii="Times New Roman" w:hAnsi="Times New Roman" w:cs="Times New Roman"/>
                <w:sz w:val="24"/>
                <w:u w:val="single"/>
                <w:lang w:eastAsia="zh-CN"/>
              </w:rPr>
              <w:t>，</w:t>
            </w:r>
            <w:r>
              <w:rPr>
                <w:rFonts w:hint="default" w:ascii="Times New Roman" w:hAnsi="Times New Roman" w:cs="Times New Roman"/>
                <w:sz w:val="24"/>
                <w:u w:val="single"/>
                <w:lang w:val="en-US" w:eastAsia="zh-CN"/>
              </w:rPr>
              <w:t>则项目产生的生产废水</w:t>
            </w:r>
            <w:r>
              <w:rPr>
                <w:rFonts w:hint="eastAsia" w:cs="Times New Roman"/>
                <w:sz w:val="24"/>
                <w:u w:val="single"/>
                <w:lang w:val="en-US" w:eastAsia="zh-CN"/>
              </w:rPr>
              <w:t>约一天 用水泵输送一次</w:t>
            </w:r>
            <w:r>
              <w:rPr>
                <w:rFonts w:ascii="Times New Roman" w:hAnsi="Times New Roman" w:cs="Times New Roman"/>
                <w:sz w:val="24"/>
                <w:u w:val="single"/>
              </w:rPr>
              <w:t>。</w:t>
            </w:r>
          </w:p>
          <w:p>
            <w:pPr>
              <w:pStyle w:val="9"/>
              <w:spacing w:before="192" w:after="192"/>
              <w:rPr>
                <w:u w:val="none"/>
                <w:lang w:val="en-US"/>
              </w:rPr>
            </w:pPr>
            <w:r>
              <w:rPr>
                <w:rFonts w:hint="eastAsia"/>
                <w:u w:val="none"/>
                <w:lang w:val="en-US" w:eastAsia="zh-CN"/>
              </w:rPr>
              <w:t>4.2.2.4 废水日常管理要求</w:t>
            </w:r>
          </w:p>
          <w:p>
            <w:pPr>
              <w:ind w:firstLine="480"/>
              <w:jc w:val="both"/>
              <w:rPr>
                <w:rFonts w:hint="eastAsia"/>
                <w:u w:val="none"/>
                <w:lang w:val="en-US" w:eastAsia="zh-CN"/>
              </w:rPr>
            </w:pPr>
            <w:r>
              <w:rPr>
                <w:rFonts w:hint="eastAsia"/>
                <w:u w:val="none"/>
                <w:lang w:val="en-US" w:eastAsia="zh-CN"/>
              </w:rPr>
              <w:t>（1）自行监测方案</w:t>
            </w:r>
          </w:p>
          <w:p>
            <w:pPr>
              <w:ind w:firstLine="480"/>
              <w:jc w:val="both"/>
              <w:rPr>
                <w:rFonts w:hint="eastAsia"/>
                <w:u w:val="none"/>
                <w:lang w:val="en-US"/>
              </w:rPr>
            </w:pPr>
            <w:r>
              <w:rPr>
                <w:rFonts w:hint="eastAsia"/>
                <w:u w:val="none"/>
                <w:lang w:val="en-US"/>
              </w:rPr>
              <w:t>根据《排污许可证申请与核发技术规范——</w:t>
            </w:r>
            <w:r>
              <w:rPr>
                <w:rFonts w:hint="eastAsia"/>
                <w:u w:val="none"/>
                <w:lang w:val="en-US" w:eastAsia="zh-CN"/>
              </w:rPr>
              <w:t>环境卫生</w:t>
            </w:r>
            <w:r>
              <w:rPr>
                <w:rFonts w:hint="eastAsia"/>
                <w:u w:val="none"/>
                <w:lang w:val="en-US"/>
              </w:rPr>
              <w:t>工业》（HJ1027-2019）中第7节自行监测管理要求，</w:t>
            </w:r>
            <w:r>
              <w:rPr>
                <w:rFonts w:hint="eastAsia"/>
                <w:u w:val="none"/>
                <w:lang w:val="en-US" w:eastAsia="zh-CN"/>
              </w:rPr>
              <w:t>本项目站内不设置污水处理系统，依托凤凰县垃圾填埋场渗滤液处理系统进行处理</w:t>
            </w:r>
            <w:r>
              <w:rPr>
                <w:rFonts w:hint="eastAsia"/>
                <w:u w:val="none"/>
                <w:lang w:val="en-US"/>
              </w:rPr>
              <w:t>，</w:t>
            </w:r>
            <w:r>
              <w:rPr>
                <w:rFonts w:hint="eastAsia"/>
                <w:lang w:val="en-US" w:eastAsia="zh-CN"/>
              </w:rPr>
              <w:t>根据调查凤凰县垃圾填埋场实际运行情况，每年会定期进行自行监测，本项目无废水排放，</w:t>
            </w:r>
            <w:r>
              <w:rPr>
                <w:rFonts w:hint="eastAsia"/>
                <w:u w:val="none"/>
                <w:lang w:val="en-US" w:eastAsia="zh-CN"/>
              </w:rPr>
              <w:t>故不检测，雨水排放口每月有流动水排放时开展一次监测。如监测一年无异常情况，可放宽至每季度有流动水排放时开展一次监测（监测因子为COD、悬浮物）</w:t>
            </w:r>
            <w:r>
              <w:rPr>
                <w:rFonts w:hint="eastAsia"/>
                <w:u w:val="none"/>
                <w:lang w:val="en-US"/>
              </w:rPr>
              <w:t>。</w:t>
            </w:r>
          </w:p>
          <w:p>
            <w:pPr>
              <w:bidi w:val="0"/>
              <w:jc w:val="both"/>
              <w:rPr>
                <w:rFonts w:hint="eastAsia"/>
                <w:lang w:val="en-US" w:eastAsia="zh-CN"/>
              </w:rPr>
            </w:pPr>
            <w:r>
              <w:rPr>
                <w:rFonts w:hint="eastAsia"/>
                <w:lang w:val="en-US" w:eastAsia="zh-CN"/>
              </w:rPr>
              <w:t>（2）运行管理要求</w:t>
            </w:r>
          </w:p>
          <w:p>
            <w:pPr>
              <w:bidi w:val="0"/>
              <w:rPr>
                <w:rFonts w:hint="eastAsia"/>
                <w:lang w:val="en-US" w:eastAsia="zh-CN"/>
              </w:rPr>
            </w:pPr>
            <w:r>
              <w:rPr>
                <w:rFonts w:hint="eastAsia"/>
                <w:lang w:val="en-US" w:eastAsia="zh-CN"/>
              </w:rPr>
              <w:t>本项目废水依托凤凰县垃圾填埋场渗滤液处理系统处理，因此站内无污水处理设施。</w:t>
            </w:r>
          </w:p>
          <w:p>
            <w:pPr>
              <w:pStyle w:val="29"/>
              <w:jc w:val="both"/>
              <w:rPr>
                <w:rFonts w:hint="eastAsia"/>
                <w:lang w:val="en-US" w:eastAsia="zh-CN"/>
              </w:rPr>
            </w:pPr>
            <w:r>
              <w:rPr>
                <w:rFonts w:hint="eastAsia"/>
                <w:lang w:val="en-US" w:eastAsia="zh-CN"/>
              </w:rPr>
              <w:t>企业应定期对渗滤真空收集系统、渗滤液暂存池、污水提升泵及渗滤液输送管道进行检修，并建立存档制度，按要求记录和存档。</w:t>
            </w:r>
          </w:p>
          <w:p>
            <w:pPr>
              <w:pStyle w:val="8"/>
              <w:ind w:left="0" w:leftChars="0" w:firstLine="0" w:firstLineChars="0"/>
              <w:rPr>
                <w:u w:val="single"/>
              </w:rPr>
            </w:pPr>
            <w:r>
              <w:rPr>
                <w:rFonts w:hint="eastAsia"/>
                <w:b/>
                <w:bCs/>
                <w:u w:val="none"/>
                <w:lang w:val="en-US" w:eastAsia="zh-CN"/>
              </w:rPr>
              <w:t>4.2.3</w:t>
            </w:r>
            <w:r>
              <w:rPr>
                <w:b/>
                <w:bCs/>
                <w:u w:val="none"/>
              </w:rPr>
              <w:t>声环境的影响分析</w:t>
            </w:r>
          </w:p>
          <w:p>
            <w:pPr>
              <w:pStyle w:val="9"/>
              <w:spacing w:before="192" w:after="192"/>
              <w:rPr>
                <w:u w:val="single"/>
              </w:rPr>
            </w:pPr>
            <w:r>
              <w:rPr>
                <w:rFonts w:hint="eastAsia"/>
                <w:u w:val="single"/>
                <w:lang w:val="en-US" w:eastAsia="zh-CN"/>
              </w:rPr>
              <w:t>4.2.3.</w:t>
            </w:r>
            <w:r>
              <w:rPr>
                <w:rFonts w:hint="eastAsia"/>
                <w:u w:val="single"/>
                <w:lang w:val="en-US"/>
              </w:rPr>
              <w:t>1</w:t>
            </w:r>
            <w:r>
              <w:rPr>
                <w:u w:val="single"/>
              </w:rPr>
              <w:t>项目噪声污染源强分析</w:t>
            </w:r>
          </w:p>
          <w:p>
            <w:pPr>
              <w:numPr>
                <w:ilvl w:val="0"/>
                <w:numId w:val="6"/>
              </w:numPr>
              <w:spacing w:line="360" w:lineRule="auto"/>
              <w:ind w:firstLine="480" w:firstLineChars="200"/>
              <w:rPr>
                <w:rFonts w:hint="eastAsia" w:cs="Times New Roman"/>
                <w:kern w:val="0"/>
                <w:sz w:val="24"/>
                <w:szCs w:val="20"/>
                <w:u w:val="single"/>
                <w:lang w:eastAsia="zh-CN" w:bidi="th-TH"/>
              </w:rPr>
            </w:pPr>
            <w:r>
              <w:rPr>
                <w:rFonts w:hint="eastAsia" w:cs="Times New Roman"/>
                <w:kern w:val="0"/>
                <w:sz w:val="24"/>
                <w:szCs w:val="20"/>
                <w:u w:val="single"/>
                <w:lang w:eastAsia="zh-CN" w:bidi="th-TH"/>
              </w:rPr>
              <w:t>源强分析</w:t>
            </w:r>
          </w:p>
          <w:p>
            <w:pPr>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firstLine="480" w:firstLineChars="200"/>
              <w:textAlignment w:val="auto"/>
              <w:rPr>
                <w:rFonts w:ascii="Times New Roman" w:hAnsi="Times New Roman" w:cs="Times New Roman"/>
                <w:kern w:val="0"/>
                <w:sz w:val="24"/>
                <w:szCs w:val="20"/>
                <w:u w:val="single"/>
                <w:lang w:bidi="th-TH"/>
              </w:rPr>
            </w:pPr>
            <w:r>
              <w:rPr>
                <w:rFonts w:ascii="Times New Roman" w:hAnsi="Times New Roman" w:cs="Times New Roman"/>
                <w:kern w:val="0"/>
                <w:sz w:val="24"/>
                <w:szCs w:val="20"/>
                <w:u w:val="single"/>
                <w:lang w:bidi="th-TH"/>
              </w:rPr>
              <w:t>运行期间产生的噪声主要</w:t>
            </w:r>
            <w:r>
              <w:rPr>
                <w:rFonts w:hint="default" w:ascii="Times New Roman" w:hAnsi="Times New Roman" w:cs="Times New Roman"/>
                <w:kern w:val="0"/>
                <w:sz w:val="24"/>
                <w:szCs w:val="20"/>
                <w:u w:val="single"/>
                <w:lang w:val="en-US" w:eastAsia="zh-CN" w:bidi="th-TH"/>
              </w:rPr>
              <w:t>来源于变压器、压缩设备、除臭设施、风机</w:t>
            </w:r>
            <w:r>
              <w:rPr>
                <w:rFonts w:ascii="Times New Roman" w:hAnsi="Times New Roman" w:cs="Times New Roman"/>
                <w:kern w:val="0"/>
                <w:sz w:val="24"/>
                <w:szCs w:val="20"/>
                <w:u w:val="single"/>
                <w:lang w:bidi="th-TH"/>
              </w:rPr>
              <w:t>等运行产生的</w:t>
            </w:r>
            <w:r>
              <w:rPr>
                <w:rFonts w:hint="default" w:ascii="Times New Roman" w:hAnsi="Times New Roman" w:cs="Times New Roman"/>
                <w:kern w:val="0"/>
                <w:sz w:val="24"/>
                <w:szCs w:val="20"/>
                <w:u w:val="single"/>
                <w:lang w:val="en-US" w:eastAsia="zh-CN" w:bidi="th-TH"/>
              </w:rPr>
              <w:t>设备</w:t>
            </w:r>
            <w:r>
              <w:rPr>
                <w:rFonts w:ascii="Times New Roman" w:hAnsi="Times New Roman" w:cs="Times New Roman"/>
                <w:kern w:val="0"/>
                <w:sz w:val="24"/>
                <w:szCs w:val="20"/>
                <w:u w:val="single"/>
                <w:lang w:bidi="th-TH"/>
              </w:rPr>
              <w:t>噪声</w:t>
            </w:r>
            <w:r>
              <w:rPr>
                <w:rFonts w:hint="default" w:ascii="Times New Roman" w:hAnsi="Times New Roman" w:cs="Times New Roman"/>
                <w:kern w:val="0"/>
                <w:sz w:val="24"/>
                <w:szCs w:val="20"/>
                <w:u w:val="single"/>
                <w:lang w:val="en-US" w:eastAsia="zh-CN" w:bidi="th-TH"/>
              </w:rPr>
              <w:t>以及车辆噪声</w:t>
            </w:r>
            <w:r>
              <w:rPr>
                <w:rFonts w:ascii="Times New Roman" w:hAnsi="Times New Roman" w:cs="Times New Roman"/>
                <w:kern w:val="0"/>
                <w:sz w:val="24"/>
                <w:szCs w:val="20"/>
                <w:u w:val="single"/>
                <w:lang w:bidi="th-TH"/>
              </w:rPr>
              <w:t>。</w:t>
            </w:r>
          </w:p>
          <w:p>
            <w:pPr>
              <w:pStyle w:val="2"/>
              <w:pageBreakBefore w:val="0"/>
              <w:kinsoku/>
              <w:overflowPunct/>
              <w:bidi w:val="0"/>
              <w:spacing w:line="360" w:lineRule="auto"/>
              <w:jc w:val="center"/>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表</w:t>
            </w:r>
            <w:r>
              <w:rPr>
                <w:rFonts w:hint="eastAsia" w:ascii="Times New Roman" w:hAnsi="Times New Roman" w:cs="Times New Roman"/>
                <w:b/>
                <w:bCs/>
                <w:sz w:val="21"/>
                <w:szCs w:val="21"/>
                <w:u w:val="single"/>
                <w:lang w:val="en-US" w:eastAsia="zh-CN"/>
              </w:rPr>
              <w:t>4.2-13</w:t>
            </w:r>
            <w:r>
              <w:rPr>
                <w:rFonts w:hint="default" w:ascii="Times New Roman" w:hAnsi="Times New Roman" w:cs="Times New Roman"/>
                <w:b/>
                <w:bCs/>
                <w:sz w:val="21"/>
                <w:szCs w:val="21"/>
                <w:u w:val="single"/>
                <w:lang w:val="en-US" w:eastAsia="zh-CN"/>
              </w:rPr>
              <w:t xml:space="preserve">  </w:t>
            </w:r>
            <w:r>
              <w:rPr>
                <w:rFonts w:hint="default" w:ascii="Times New Roman" w:hAnsi="Times New Roman" w:cs="Times New Roman"/>
                <w:b/>
                <w:bCs/>
                <w:sz w:val="21"/>
                <w:szCs w:val="21"/>
                <w:u w:val="single"/>
              </w:rPr>
              <w:t>项目噪声源一览表</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585"/>
              <w:gridCol w:w="984"/>
              <w:gridCol w:w="2742"/>
              <w:gridCol w:w="1590"/>
              <w:gridCol w:w="8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492" w:type="pct"/>
                  <w:noWrap w:val="0"/>
                  <w:vAlign w:val="center"/>
                </w:tcPr>
                <w:p>
                  <w:pPr>
                    <w:pStyle w:val="38"/>
                    <w:bidi w:val="0"/>
                    <w:rPr>
                      <w:rFonts w:hint="default" w:ascii="Times New Roman" w:hAnsi="Times New Roman" w:cs="Times New Roman"/>
                      <w:b/>
                      <w:bCs/>
                      <w:u w:val="single"/>
                    </w:rPr>
                  </w:pPr>
                  <w:r>
                    <w:rPr>
                      <w:rFonts w:hint="default" w:ascii="Times New Roman" w:hAnsi="Times New Roman" w:cs="Times New Roman"/>
                      <w:b/>
                      <w:bCs/>
                      <w:u w:val="single"/>
                    </w:rPr>
                    <w:t>噪声源位置</w:t>
                  </w:r>
                </w:p>
              </w:tc>
              <w:tc>
                <w:tcPr>
                  <w:tcW w:w="917" w:type="pct"/>
                  <w:noWrap w:val="0"/>
                  <w:vAlign w:val="center"/>
                </w:tcPr>
                <w:p>
                  <w:pPr>
                    <w:pStyle w:val="38"/>
                    <w:bidi w:val="0"/>
                    <w:rPr>
                      <w:rFonts w:hint="default" w:ascii="Times New Roman" w:hAnsi="Times New Roman" w:cs="Times New Roman"/>
                      <w:b/>
                      <w:bCs/>
                      <w:u w:val="single"/>
                    </w:rPr>
                  </w:pPr>
                  <w:r>
                    <w:rPr>
                      <w:rFonts w:hint="default" w:ascii="Times New Roman" w:hAnsi="Times New Roman" w:cs="Times New Roman"/>
                      <w:b/>
                      <w:bCs/>
                      <w:u w:val="single"/>
                    </w:rPr>
                    <w:t>设备名称</w:t>
                  </w:r>
                </w:p>
              </w:tc>
              <w:tc>
                <w:tcPr>
                  <w:tcW w:w="569" w:type="pct"/>
                  <w:noWrap w:val="0"/>
                  <w:vAlign w:val="center"/>
                </w:tcPr>
                <w:p>
                  <w:pPr>
                    <w:pStyle w:val="38"/>
                    <w:bidi w:val="0"/>
                    <w:rPr>
                      <w:rFonts w:hint="default" w:ascii="Times New Roman" w:hAnsi="Times New Roman" w:cs="Times New Roman"/>
                      <w:b/>
                      <w:bCs/>
                      <w:u w:val="single"/>
                    </w:rPr>
                  </w:pPr>
                  <w:r>
                    <w:rPr>
                      <w:rFonts w:hint="default" w:ascii="Times New Roman" w:hAnsi="Times New Roman" w:cs="Times New Roman"/>
                      <w:b/>
                      <w:bCs/>
                      <w:u w:val="single"/>
                    </w:rPr>
                    <w:t>噪声值dB（A）</w:t>
                  </w:r>
                </w:p>
              </w:tc>
              <w:tc>
                <w:tcPr>
                  <w:tcW w:w="1586" w:type="pct"/>
                  <w:noWrap w:val="0"/>
                  <w:vAlign w:val="center"/>
                </w:tcPr>
                <w:p>
                  <w:pPr>
                    <w:pStyle w:val="38"/>
                    <w:bidi w:val="0"/>
                    <w:rPr>
                      <w:rFonts w:hint="default" w:ascii="Times New Roman" w:hAnsi="Times New Roman" w:cs="Times New Roman"/>
                      <w:b/>
                      <w:bCs/>
                      <w:u w:val="single"/>
                    </w:rPr>
                  </w:pPr>
                  <w:r>
                    <w:rPr>
                      <w:rFonts w:hint="default" w:ascii="Times New Roman" w:hAnsi="Times New Roman" w:cs="Times New Roman"/>
                      <w:b/>
                      <w:bCs/>
                      <w:u w:val="single"/>
                    </w:rPr>
                    <w:t>治理措施</w:t>
                  </w:r>
                </w:p>
              </w:tc>
              <w:tc>
                <w:tcPr>
                  <w:tcW w:w="920" w:type="pct"/>
                  <w:noWrap w:val="0"/>
                  <w:vAlign w:val="center"/>
                </w:tcPr>
                <w:p>
                  <w:pPr>
                    <w:pStyle w:val="38"/>
                    <w:bidi w:val="0"/>
                    <w:rPr>
                      <w:rFonts w:hint="default" w:ascii="Times New Roman" w:hAnsi="Times New Roman" w:cs="Times New Roman"/>
                      <w:b/>
                      <w:bCs/>
                      <w:u w:val="single"/>
                    </w:rPr>
                  </w:pPr>
                  <w:r>
                    <w:rPr>
                      <w:rFonts w:hint="default" w:ascii="Times New Roman" w:hAnsi="Times New Roman" w:cs="Times New Roman"/>
                      <w:b/>
                      <w:bCs/>
                      <w:u w:val="single"/>
                    </w:rPr>
                    <w:t>采取措施降噪值dB（A）</w:t>
                  </w:r>
                </w:p>
              </w:tc>
              <w:tc>
                <w:tcPr>
                  <w:tcW w:w="513" w:type="pct"/>
                  <w:noWrap w:val="0"/>
                  <w:vAlign w:val="center"/>
                </w:tcPr>
                <w:p>
                  <w:pPr>
                    <w:pStyle w:val="38"/>
                    <w:bidi w:val="0"/>
                    <w:rPr>
                      <w:rFonts w:hint="default" w:ascii="Times New Roman" w:hAnsi="Times New Roman" w:cs="Times New Roman"/>
                      <w:b/>
                      <w:bCs/>
                      <w:u w:val="single"/>
                    </w:rPr>
                  </w:pPr>
                  <w:r>
                    <w:rPr>
                      <w:rFonts w:hint="default" w:ascii="Times New Roman" w:hAnsi="Times New Roman" w:cs="Times New Roman"/>
                      <w:b/>
                      <w:bCs/>
                      <w:u w:val="single"/>
                    </w:rPr>
                    <w:t>排放特征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92" w:type="pct"/>
                  <w:vMerge w:val="restart"/>
                  <w:noWrap w:val="0"/>
                  <w:vAlign w:val="center"/>
                </w:tcPr>
                <w:p>
                  <w:pPr>
                    <w:pStyle w:val="38"/>
                    <w:bidi w:val="0"/>
                    <w:rPr>
                      <w:rFonts w:hint="default" w:ascii="Times New Roman" w:hAnsi="Times New Roman" w:eastAsia="宋体" w:cs="Times New Roman"/>
                      <w:u w:val="single"/>
                      <w:lang w:eastAsia="zh-CN"/>
                    </w:rPr>
                  </w:pPr>
                  <w:r>
                    <w:rPr>
                      <w:rFonts w:hint="default" w:ascii="Times New Roman" w:hAnsi="Times New Roman" w:cs="Times New Roman"/>
                      <w:u w:val="single"/>
                      <w:lang w:val="en-US" w:eastAsia="zh-CN"/>
                    </w:rPr>
                    <w:t>压缩车间</w:t>
                  </w:r>
                </w:p>
              </w:tc>
              <w:tc>
                <w:tcPr>
                  <w:tcW w:w="917" w:type="pct"/>
                  <w:noWrap w:val="0"/>
                  <w:vAlign w:val="center"/>
                </w:tcPr>
                <w:p>
                  <w:pPr>
                    <w:pStyle w:val="38"/>
                    <w:bidi w:val="0"/>
                    <w:ind w:left="0" w:leftChars="0" w:right="0" w:rightChars="0" w:firstLine="0" w:firstLineChars="0"/>
                    <w:rPr>
                      <w:rFonts w:hint="default" w:ascii="Times New Roman" w:hAnsi="Times New Roman" w:cs="Times New Roman"/>
                      <w:u w:val="single"/>
                    </w:rPr>
                  </w:pPr>
                  <w:r>
                    <w:rPr>
                      <w:rFonts w:hint="default" w:ascii="Times New Roman" w:hAnsi="Times New Roman" w:cs="Times New Roman"/>
                      <w:u w:val="single"/>
                      <w:lang w:val="en-US" w:eastAsia="zh-CN"/>
                    </w:rPr>
                    <w:t>变压器</w:t>
                  </w:r>
                </w:p>
              </w:tc>
              <w:tc>
                <w:tcPr>
                  <w:tcW w:w="569" w:type="pct"/>
                  <w:noWrap w:val="0"/>
                  <w:vAlign w:val="center"/>
                </w:tcPr>
                <w:p>
                  <w:pPr>
                    <w:pStyle w:val="2"/>
                    <w:pageBreakBefore w:val="0"/>
                    <w:kinsoku/>
                    <w:overflowPunct/>
                    <w:bidi w:val="0"/>
                    <w:jc w:val="center"/>
                    <w:rPr>
                      <w:rFonts w:hint="default" w:ascii="Times New Roman" w:hAnsi="Times New Roman" w:cs="Times New Roman"/>
                      <w:u w:val="single"/>
                    </w:rPr>
                  </w:pPr>
                  <w:r>
                    <w:rPr>
                      <w:rFonts w:hint="default" w:ascii="Times New Roman" w:hAnsi="Times New Roman" w:cs="Times New Roman"/>
                      <w:sz w:val="21"/>
                      <w:szCs w:val="21"/>
                      <w:u w:val="single"/>
                      <w:lang w:val="en-US" w:eastAsia="zh-CN"/>
                    </w:rPr>
                    <w:t>80</w:t>
                  </w:r>
                </w:p>
              </w:tc>
              <w:tc>
                <w:tcPr>
                  <w:tcW w:w="1586" w:type="pct"/>
                  <w:noWrap w:val="0"/>
                  <w:vAlign w:val="center"/>
                </w:tcPr>
                <w:p>
                  <w:pPr>
                    <w:pStyle w:val="38"/>
                    <w:bidi w:val="0"/>
                    <w:rPr>
                      <w:rFonts w:hint="default" w:ascii="Times New Roman" w:hAnsi="Times New Roman" w:cs="Times New Roman"/>
                      <w:u w:val="single"/>
                    </w:rPr>
                  </w:pPr>
                  <w:r>
                    <w:rPr>
                      <w:rFonts w:hint="default" w:ascii="Times New Roman" w:hAnsi="Times New Roman" w:cs="Times New Roman"/>
                      <w:u w:val="single"/>
                    </w:rPr>
                    <w:t>设备底座减震</w:t>
                  </w:r>
                </w:p>
              </w:tc>
              <w:tc>
                <w:tcPr>
                  <w:tcW w:w="920" w:type="pct"/>
                  <w:noWrap w:val="0"/>
                  <w:vAlign w:val="center"/>
                </w:tcPr>
                <w:p>
                  <w:pPr>
                    <w:pStyle w:val="38"/>
                    <w:bidi w:val="0"/>
                    <w:rPr>
                      <w:rFonts w:hint="default" w:ascii="Times New Roman" w:hAnsi="Times New Roman" w:cs="Times New Roman"/>
                      <w:u w:val="single"/>
                    </w:rPr>
                  </w:pPr>
                  <w:r>
                    <w:rPr>
                      <w:rFonts w:hint="default" w:ascii="Times New Roman" w:hAnsi="Times New Roman" w:cs="Times New Roman"/>
                      <w:u w:val="single"/>
                    </w:rPr>
                    <w:t>60</w:t>
                  </w:r>
                </w:p>
              </w:tc>
              <w:tc>
                <w:tcPr>
                  <w:tcW w:w="513" w:type="pct"/>
                  <w:noWrap w:val="0"/>
                  <w:vAlign w:val="center"/>
                </w:tcPr>
                <w:p>
                  <w:pPr>
                    <w:pStyle w:val="38"/>
                    <w:bidi w:val="0"/>
                    <w:rPr>
                      <w:rFonts w:hint="default" w:ascii="Times New Roman" w:hAnsi="Times New Roman" w:cs="Times New Roman"/>
                      <w:u w:val="single"/>
                    </w:rPr>
                  </w:pPr>
                  <w:r>
                    <w:rPr>
                      <w:rFonts w:hint="default" w:ascii="Times New Roman" w:hAnsi="Times New Roman" w:cs="Times New Roman"/>
                      <w:u w:val="single"/>
                    </w:rPr>
                    <w:t>连续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92" w:type="pct"/>
                  <w:vMerge w:val="continue"/>
                  <w:noWrap w:val="0"/>
                  <w:vAlign w:val="center"/>
                </w:tcPr>
                <w:p>
                  <w:pPr>
                    <w:pStyle w:val="38"/>
                    <w:bidi w:val="0"/>
                    <w:rPr>
                      <w:rFonts w:hint="default" w:ascii="Times New Roman" w:hAnsi="Times New Roman" w:cs="Times New Roman"/>
                      <w:u w:val="single"/>
                    </w:rPr>
                  </w:pPr>
                </w:p>
              </w:tc>
              <w:tc>
                <w:tcPr>
                  <w:tcW w:w="917" w:type="pct"/>
                  <w:noWrap w:val="0"/>
                  <w:vAlign w:val="center"/>
                </w:tcPr>
                <w:p>
                  <w:pPr>
                    <w:pStyle w:val="38"/>
                    <w:bidi w:val="0"/>
                    <w:ind w:left="0" w:leftChars="0" w:right="0" w:rightChars="0" w:firstLine="0" w:firstLineChars="0"/>
                    <w:rPr>
                      <w:rFonts w:hint="default" w:ascii="Times New Roman" w:hAnsi="Times New Roman" w:cs="Times New Roman"/>
                      <w:u w:val="single"/>
                    </w:rPr>
                  </w:pPr>
                  <w:r>
                    <w:rPr>
                      <w:rFonts w:hint="default" w:ascii="Times New Roman" w:hAnsi="Times New Roman" w:cs="Times New Roman"/>
                      <w:u w:val="single"/>
                      <w:lang w:val="en-US" w:eastAsia="zh-CN"/>
                    </w:rPr>
                    <w:t>压缩设备</w:t>
                  </w:r>
                </w:p>
              </w:tc>
              <w:tc>
                <w:tcPr>
                  <w:tcW w:w="569" w:type="pct"/>
                  <w:noWrap w:val="0"/>
                  <w:vAlign w:val="center"/>
                </w:tcPr>
                <w:p>
                  <w:pPr>
                    <w:pStyle w:val="2"/>
                    <w:pageBreakBefore w:val="0"/>
                    <w:kinsoku/>
                    <w:overflowPunct/>
                    <w:bidi w:val="0"/>
                    <w:jc w:val="center"/>
                    <w:rPr>
                      <w:rFonts w:hint="default" w:ascii="Times New Roman" w:hAnsi="Times New Roman" w:cs="Times New Roman"/>
                      <w:u w:val="single"/>
                    </w:rPr>
                  </w:pPr>
                  <w:r>
                    <w:rPr>
                      <w:rFonts w:hint="default" w:ascii="Times New Roman" w:hAnsi="Times New Roman" w:cs="Times New Roman"/>
                      <w:sz w:val="21"/>
                      <w:szCs w:val="21"/>
                      <w:u w:val="single"/>
                      <w:lang w:val="en-US" w:eastAsia="zh-CN"/>
                    </w:rPr>
                    <w:t>80</w:t>
                  </w:r>
                </w:p>
              </w:tc>
              <w:tc>
                <w:tcPr>
                  <w:tcW w:w="1586" w:type="pct"/>
                  <w:noWrap w:val="0"/>
                  <w:vAlign w:val="center"/>
                </w:tcPr>
                <w:p>
                  <w:pPr>
                    <w:pStyle w:val="38"/>
                    <w:bidi w:val="0"/>
                    <w:rPr>
                      <w:rFonts w:hint="default" w:ascii="Times New Roman" w:hAnsi="Times New Roman" w:cs="Times New Roman"/>
                      <w:u w:val="single"/>
                    </w:rPr>
                  </w:pPr>
                  <w:r>
                    <w:rPr>
                      <w:rFonts w:hint="default" w:ascii="Times New Roman" w:hAnsi="Times New Roman" w:cs="Times New Roman"/>
                      <w:u w:val="single"/>
                    </w:rPr>
                    <w:t>设备底座减震</w:t>
                  </w:r>
                  <w:r>
                    <w:rPr>
                      <w:rFonts w:hint="default" w:ascii="Times New Roman" w:hAnsi="Times New Roman" w:cs="Times New Roman"/>
                      <w:u w:val="single"/>
                      <w:lang w:eastAsia="zh-CN"/>
                    </w:rPr>
                    <w:t>，</w:t>
                  </w:r>
                  <w:r>
                    <w:rPr>
                      <w:rFonts w:hint="default" w:ascii="Times New Roman" w:hAnsi="Times New Roman" w:cs="Times New Roman"/>
                      <w:u w:val="single"/>
                    </w:rPr>
                    <w:t>建筑隔声</w:t>
                  </w:r>
                </w:p>
              </w:tc>
              <w:tc>
                <w:tcPr>
                  <w:tcW w:w="920" w:type="pct"/>
                  <w:noWrap w:val="0"/>
                  <w:vAlign w:val="center"/>
                </w:tcPr>
                <w:p>
                  <w:pPr>
                    <w:pStyle w:val="38"/>
                    <w:bidi w:val="0"/>
                    <w:rPr>
                      <w:rFonts w:hint="default" w:ascii="Times New Roman" w:hAnsi="Times New Roman" w:cs="Times New Roman"/>
                      <w:u w:val="single"/>
                    </w:rPr>
                  </w:pPr>
                  <w:r>
                    <w:rPr>
                      <w:rFonts w:hint="default" w:ascii="Times New Roman" w:hAnsi="Times New Roman" w:cs="Times New Roman"/>
                      <w:u w:val="single"/>
                    </w:rPr>
                    <w:t>60</w:t>
                  </w:r>
                </w:p>
              </w:tc>
              <w:tc>
                <w:tcPr>
                  <w:tcW w:w="513" w:type="pct"/>
                  <w:noWrap w:val="0"/>
                  <w:vAlign w:val="center"/>
                </w:tcPr>
                <w:p>
                  <w:pPr>
                    <w:pStyle w:val="38"/>
                    <w:bidi w:val="0"/>
                    <w:rPr>
                      <w:rFonts w:hint="default" w:ascii="Times New Roman" w:hAnsi="Times New Roman" w:cs="Times New Roman"/>
                      <w:u w:val="single"/>
                    </w:rPr>
                  </w:pPr>
                  <w:r>
                    <w:rPr>
                      <w:rFonts w:hint="default" w:ascii="Times New Roman" w:hAnsi="Times New Roman" w:cs="Times New Roman"/>
                      <w:u w:val="single"/>
                    </w:rPr>
                    <w:t>连续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92" w:type="pct"/>
                  <w:vMerge w:val="continue"/>
                  <w:noWrap w:val="0"/>
                  <w:vAlign w:val="center"/>
                </w:tcPr>
                <w:p>
                  <w:pPr>
                    <w:pStyle w:val="38"/>
                    <w:bidi w:val="0"/>
                    <w:rPr>
                      <w:rFonts w:hint="default" w:ascii="Times New Roman" w:hAnsi="Times New Roman" w:cs="Times New Roman"/>
                      <w:u w:val="single"/>
                    </w:rPr>
                  </w:pPr>
                </w:p>
              </w:tc>
              <w:tc>
                <w:tcPr>
                  <w:tcW w:w="917" w:type="pct"/>
                  <w:noWrap w:val="0"/>
                  <w:vAlign w:val="center"/>
                </w:tcPr>
                <w:p>
                  <w:pPr>
                    <w:pStyle w:val="38"/>
                    <w:bidi w:val="0"/>
                    <w:ind w:left="0" w:leftChars="0" w:right="0" w:rightChars="0" w:firstLine="0" w:firstLineChars="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除臭设施</w:t>
                  </w:r>
                </w:p>
              </w:tc>
              <w:tc>
                <w:tcPr>
                  <w:tcW w:w="569" w:type="pct"/>
                  <w:noWrap w:val="0"/>
                  <w:vAlign w:val="center"/>
                </w:tcPr>
                <w:p>
                  <w:pPr>
                    <w:pStyle w:val="2"/>
                    <w:pageBreakBefore w:val="0"/>
                    <w:kinsoku/>
                    <w:overflowPunct/>
                    <w:bidi w:val="0"/>
                    <w:jc w:val="center"/>
                    <w:rPr>
                      <w:rFonts w:hint="default" w:ascii="Times New Roman" w:hAnsi="Times New Roman" w:cs="Times New Roman"/>
                      <w:u w:val="single"/>
                    </w:rPr>
                  </w:pPr>
                  <w:r>
                    <w:rPr>
                      <w:rFonts w:hint="default" w:ascii="Times New Roman" w:hAnsi="Times New Roman" w:cs="Times New Roman"/>
                      <w:sz w:val="21"/>
                      <w:szCs w:val="21"/>
                      <w:u w:val="single"/>
                      <w:lang w:val="en-US" w:eastAsia="zh-CN"/>
                    </w:rPr>
                    <w:t>80</w:t>
                  </w:r>
                </w:p>
              </w:tc>
              <w:tc>
                <w:tcPr>
                  <w:tcW w:w="1586" w:type="pct"/>
                  <w:noWrap w:val="0"/>
                  <w:vAlign w:val="center"/>
                </w:tcPr>
                <w:p>
                  <w:pPr>
                    <w:pStyle w:val="38"/>
                    <w:bidi w:val="0"/>
                    <w:rPr>
                      <w:rFonts w:hint="default" w:ascii="Times New Roman" w:hAnsi="Times New Roman" w:cs="Times New Roman"/>
                      <w:u w:val="single"/>
                    </w:rPr>
                  </w:pPr>
                  <w:r>
                    <w:rPr>
                      <w:rFonts w:hint="default" w:ascii="Times New Roman" w:hAnsi="Times New Roman" w:cs="Times New Roman"/>
                      <w:u w:val="single"/>
                    </w:rPr>
                    <w:t>设备底座减震</w:t>
                  </w:r>
                </w:p>
              </w:tc>
              <w:tc>
                <w:tcPr>
                  <w:tcW w:w="920" w:type="pct"/>
                  <w:noWrap w:val="0"/>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60</w:t>
                  </w:r>
                </w:p>
              </w:tc>
              <w:tc>
                <w:tcPr>
                  <w:tcW w:w="513" w:type="pct"/>
                  <w:noWrap w:val="0"/>
                  <w:vAlign w:val="center"/>
                </w:tcPr>
                <w:p>
                  <w:pPr>
                    <w:pStyle w:val="38"/>
                    <w:bidi w:val="0"/>
                    <w:rPr>
                      <w:rFonts w:hint="default" w:ascii="Times New Roman" w:hAnsi="Times New Roman" w:cs="Times New Roman"/>
                      <w:u w:val="single"/>
                    </w:rPr>
                  </w:pPr>
                  <w:r>
                    <w:rPr>
                      <w:rFonts w:hint="default" w:ascii="Times New Roman" w:hAnsi="Times New Roman" w:cs="Times New Roman"/>
                      <w:u w:val="single"/>
                    </w:rPr>
                    <w:t>连续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97" w:hRule="atLeast"/>
                <w:jc w:val="center"/>
              </w:trPr>
              <w:tc>
                <w:tcPr>
                  <w:tcW w:w="492" w:type="pct"/>
                  <w:vMerge w:val="continue"/>
                  <w:noWrap w:val="0"/>
                  <w:vAlign w:val="center"/>
                </w:tcPr>
                <w:p>
                  <w:pPr>
                    <w:pStyle w:val="38"/>
                    <w:bidi w:val="0"/>
                    <w:rPr>
                      <w:rFonts w:hint="default" w:ascii="Times New Roman" w:hAnsi="Times New Roman" w:cs="Times New Roman"/>
                      <w:u w:val="single"/>
                    </w:rPr>
                  </w:pPr>
                </w:p>
              </w:tc>
              <w:tc>
                <w:tcPr>
                  <w:tcW w:w="917" w:type="pct"/>
                  <w:noWrap w:val="0"/>
                  <w:vAlign w:val="center"/>
                </w:tcPr>
                <w:p>
                  <w:pPr>
                    <w:pStyle w:val="38"/>
                    <w:bidi w:val="0"/>
                    <w:ind w:left="0" w:leftChars="0" w:right="0" w:rightChars="0" w:firstLine="0" w:firstLineChars="0"/>
                    <w:rPr>
                      <w:rFonts w:hint="default" w:ascii="Times New Roman" w:hAnsi="Times New Roman" w:cs="Times New Roman"/>
                      <w:u w:val="single"/>
                    </w:rPr>
                  </w:pPr>
                  <w:r>
                    <w:rPr>
                      <w:rFonts w:hint="default" w:ascii="Times New Roman" w:hAnsi="Times New Roman" w:cs="Times New Roman"/>
                      <w:u w:val="single"/>
                      <w:lang w:val="en-US" w:eastAsia="zh-CN"/>
                    </w:rPr>
                    <w:t>风机</w:t>
                  </w:r>
                </w:p>
              </w:tc>
              <w:tc>
                <w:tcPr>
                  <w:tcW w:w="569" w:type="pct"/>
                  <w:noWrap w:val="0"/>
                  <w:vAlign w:val="center"/>
                </w:tcPr>
                <w:p>
                  <w:pPr>
                    <w:pStyle w:val="2"/>
                    <w:pageBreakBefore w:val="0"/>
                    <w:kinsoku/>
                    <w:overflowPunct/>
                    <w:bidi w:val="0"/>
                    <w:jc w:val="center"/>
                    <w:rPr>
                      <w:rFonts w:hint="default" w:ascii="Times New Roman" w:hAnsi="Times New Roman" w:cs="Times New Roman"/>
                      <w:u w:val="single"/>
                    </w:rPr>
                  </w:pPr>
                  <w:r>
                    <w:rPr>
                      <w:rFonts w:hint="default" w:ascii="Times New Roman" w:hAnsi="Times New Roman" w:cs="Times New Roman"/>
                      <w:sz w:val="21"/>
                      <w:szCs w:val="21"/>
                      <w:u w:val="single"/>
                      <w:lang w:val="en-US" w:eastAsia="zh-CN"/>
                    </w:rPr>
                    <w:t>85</w:t>
                  </w:r>
                </w:p>
              </w:tc>
              <w:tc>
                <w:tcPr>
                  <w:tcW w:w="1586" w:type="pct"/>
                  <w:noWrap w:val="0"/>
                  <w:vAlign w:val="center"/>
                </w:tcPr>
                <w:p>
                  <w:pPr>
                    <w:pStyle w:val="38"/>
                    <w:bidi w:val="0"/>
                    <w:rPr>
                      <w:rFonts w:hint="default" w:ascii="Times New Roman" w:hAnsi="Times New Roman" w:cs="Times New Roman"/>
                      <w:u w:val="single"/>
                    </w:rPr>
                  </w:pPr>
                  <w:r>
                    <w:rPr>
                      <w:rFonts w:hint="default" w:ascii="Times New Roman" w:hAnsi="Times New Roman" w:cs="Times New Roman"/>
                      <w:u w:val="single"/>
                    </w:rPr>
                    <w:t>设备底座减震</w:t>
                  </w:r>
                </w:p>
              </w:tc>
              <w:tc>
                <w:tcPr>
                  <w:tcW w:w="920" w:type="pct"/>
                  <w:noWrap w:val="0"/>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70</w:t>
                  </w:r>
                </w:p>
              </w:tc>
              <w:tc>
                <w:tcPr>
                  <w:tcW w:w="513" w:type="pct"/>
                  <w:noWrap w:val="0"/>
                  <w:vAlign w:val="center"/>
                </w:tcPr>
                <w:p>
                  <w:pPr>
                    <w:pStyle w:val="38"/>
                    <w:bidi w:val="0"/>
                    <w:rPr>
                      <w:rFonts w:hint="default" w:ascii="Times New Roman" w:hAnsi="Times New Roman" w:cs="Times New Roman"/>
                      <w:u w:val="single"/>
                    </w:rPr>
                  </w:pPr>
                  <w:r>
                    <w:rPr>
                      <w:rFonts w:hint="default" w:ascii="Times New Roman" w:hAnsi="Times New Roman" w:cs="Times New Roman"/>
                      <w:u w:val="single"/>
                    </w:rPr>
                    <w:t>连续</w:t>
                  </w:r>
                </w:p>
              </w:tc>
            </w:tr>
          </w:tbl>
          <w:p>
            <w:pPr>
              <w:spacing w:line="360" w:lineRule="auto"/>
              <w:ind w:firstLine="480" w:firstLineChars="200"/>
              <w:rPr>
                <w:rFonts w:ascii="Times New Roman" w:hAnsi="Times New Roman" w:cs="Times New Roman"/>
                <w:kern w:val="0"/>
                <w:sz w:val="24"/>
                <w:szCs w:val="20"/>
                <w:u w:val="single"/>
                <w:lang w:bidi="th-TH"/>
              </w:rPr>
            </w:pPr>
            <w:r>
              <w:rPr>
                <w:rFonts w:ascii="Times New Roman" w:hAnsi="Times New Roman" w:cs="Times New Roman"/>
                <w:kern w:val="0"/>
                <w:sz w:val="24"/>
                <w:szCs w:val="20"/>
                <w:u w:val="single"/>
                <w:lang w:bidi="th-TH"/>
              </w:rPr>
              <w:t>（</w:t>
            </w:r>
            <w:r>
              <w:rPr>
                <w:rFonts w:hint="eastAsia" w:cs="Times New Roman"/>
                <w:kern w:val="0"/>
                <w:sz w:val="24"/>
                <w:szCs w:val="20"/>
                <w:u w:val="single"/>
                <w:lang w:val="en-US" w:eastAsia="zh-CN" w:bidi="th-TH"/>
              </w:rPr>
              <w:t>2</w:t>
            </w:r>
            <w:r>
              <w:rPr>
                <w:rFonts w:ascii="Times New Roman" w:hAnsi="Times New Roman" w:cs="Times New Roman"/>
                <w:kern w:val="0"/>
                <w:sz w:val="24"/>
                <w:szCs w:val="20"/>
                <w:u w:val="single"/>
                <w:lang w:bidi="th-TH"/>
              </w:rPr>
              <w:t>）运行期</w:t>
            </w:r>
            <w:r>
              <w:rPr>
                <w:rFonts w:hint="default" w:ascii="Times New Roman" w:hAnsi="Times New Roman" w:cs="Times New Roman"/>
                <w:kern w:val="0"/>
                <w:sz w:val="24"/>
                <w:szCs w:val="20"/>
                <w:u w:val="single"/>
                <w:lang w:val="en-US" w:eastAsia="zh-CN" w:bidi="th-TH"/>
              </w:rPr>
              <w:t>设备</w:t>
            </w:r>
            <w:r>
              <w:rPr>
                <w:rFonts w:ascii="Times New Roman" w:hAnsi="Times New Roman" w:cs="Times New Roman"/>
                <w:kern w:val="0"/>
                <w:sz w:val="24"/>
                <w:szCs w:val="20"/>
                <w:u w:val="single"/>
                <w:lang w:bidi="th-TH"/>
              </w:rPr>
              <w:t>噪声</w:t>
            </w:r>
          </w:p>
          <w:p>
            <w:pPr>
              <w:spacing w:line="360" w:lineRule="auto"/>
              <w:ind w:firstLine="480" w:firstLineChars="200"/>
              <w:rPr>
                <w:rFonts w:ascii="Times New Roman" w:hAnsi="Times New Roman" w:cs="Times New Roman"/>
                <w:kern w:val="0"/>
                <w:sz w:val="24"/>
                <w:szCs w:val="20"/>
                <w:u w:val="single"/>
                <w:lang w:bidi="th-TH"/>
              </w:rPr>
            </w:pPr>
            <w:r>
              <w:rPr>
                <w:rFonts w:ascii="Times New Roman" w:hAnsi="Times New Roman" w:cs="Times New Roman"/>
                <w:kern w:val="0"/>
                <w:sz w:val="24"/>
                <w:szCs w:val="20"/>
                <w:u w:val="single"/>
                <w:lang w:bidi="th-TH"/>
              </w:rPr>
              <w:t>影响范围的预测结果见表</w:t>
            </w:r>
            <w:r>
              <w:rPr>
                <w:rFonts w:hint="eastAsia" w:cs="Times New Roman"/>
                <w:kern w:val="0"/>
                <w:sz w:val="24"/>
                <w:szCs w:val="20"/>
                <w:u w:val="single"/>
                <w:lang w:val="en-US" w:eastAsia="zh-CN" w:bidi="th-TH"/>
              </w:rPr>
              <w:t>4.2-14</w:t>
            </w:r>
            <w:r>
              <w:rPr>
                <w:rFonts w:ascii="Times New Roman" w:hAnsi="Times New Roman" w:cs="Times New Roman"/>
                <w:kern w:val="0"/>
                <w:sz w:val="24"/>
                <w:szCs w:val="20"/>
                <w:u w:val="single"/>
                <w:lang w:bidi="th-TH"/>
              </w:rPr>
              <w:t>。</w:t>
            </w:r>
          </w:p>
          <w:p>
            <w:pPr>
              <w:pStyle w:val="43"/>
              <w:spacing w:before="0" w:after="0"/>
              <w:rPr>
                <w:rFonts w:ascii="Times New Roman" w:hAnsi="Times New Roman" w:cs="Times New Roman"/>
                <w:kern w:val="0"/>
                <w:szCs w:val="21"/>
                <w:u w:val="single"/>
                <w:lang w:bidi="th-TH"/>
              </w:rPr>
            </w:pPr>
            <w:r>
              <w:rPr>
                <w:rFonts w:ascii="Times New Roman" w:hAnsi="Times New Roman" w:cs="Times New Roman"/>
                <w:kern w:val="0"/>
                <w:szCs w:val="21"/>
                <w:u w:val="single"/>
                <w:lang w:bidi="th-TH"/>
              </w:rPr>
              <w:t>表</w:t>
            </w:r>
            <w:r>
              <w:rPr>
                <w:rFonts w:hint="eastAsia" w:cs="Times New Roman"/>
                <w:kern w:val="0"/>
                <w:szCs w:val="21"/>
                <w:u w:val="single"/>
                <w:lang w:val="en-US" w:eastAsia="zh-CN" w:bidi="th-TH"/>
              </w:rPr>
              <w:t xml:space="preserve">4.2-14 </w:t>
            </w:r>
            <w:r>
              <w:rPr>
                <w:rFonts w:ascii="Times New Roman" w:hAnsi="Times New Roman" w:cs="Times New Roman"/>
                <w:kern w:val="0"/>
                <w:szCs w:val="21"/>
                <w:u w:val="single"/>
                <w:lang w:bidi="th-TH"/>
              </w:rPr>
              <w:t>：运行期设备噪声预测结果  单位：dB(A)</w:t>
            </w:r>
          </w:p>
          <w:tbl>
            <w:tblPr>
              <w:tblStyle w:val="31"/>
              <w:tblW w:w="499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06"/>
              <w:gridCol w:w="649"/>
              <w:gridCol w:w="659"/>
              <w:gridCol w:w="661"/>
              <w:gridCol w:w="662"/>
              <w:gridCol w:w="662"/>
              <w:gridCol w:w="662"/>
              <w:gridCol w:w="662"/>
              <w:gridCol w:w="662"/>
              <w:gridCol w:w="674"/>
              <w:gridCol w:w="661"/>
              <w:gridCol w:w="8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699" w:type="pct"/>
                  <w:vMerge w:val="restart"/>
                  <w:tcBorders>
                    <w:tl2br w:val="nil"/>
                    <w:tr2bl w:val="nil"/>
                  </w:tcBorders>
                  <w:noWrap w:val="0"/>
                  <w:vAlign w:val="center"/>
                </w:tcPr>
                <w:p>
                  <w:pPr>
                    <w:pStyle w:val="38"/>
                    <w:bidi w:val="0"/>
                    <w:rPr>
                      <w:rFonts w:hint="default" w:ascii="Times New Roman" w:hAnsi="Times New Roman" w:cs="Times New Roman"/>
                      <w:b/>
                      <w:bCs/>
                      <w:u w:val="single"/>
                    </w:rPr>
                  </w:pPr>
                  <w:r>
                    <w:rPr>
                      <w:rFonts w:hint="default" w:ascii="Times New Roman" w:hAnsi="Times New Roman" w:cs="Times New Roman"/>
                      <w:b/>
                      <w:bCs/>
                      <w:u w:val="single"/>
                    </w:rPr>
                    <w:t>设备</w:t>
                  </w:r>
                </w:p>
              </w:tc>
              <w:tc>
                <w:tcPr>
                  <w:tcW w:w="376" w:type="pct"/>
                  <w:vMerge w:val="restart"/>
                  <w:tcBorders>
                    <w:tl2br w:val="nil"/>
                    <w:tr2bl w:val="nil"/>
                  </w:tcBorders>
                  <w:noWrap w:val="0"/>
                  <w:vAlign w:val="center"/>
                </w:tcPr>
                <w:p>
                  <w:pPr>
                    <w:pStyle w:val="38"/>
                    <w:bidi w:val="0"/>
                    <w:rPr>
                      <w:rFonts w:hint="default" w:ascii="Times New Roman" w:hAnsi="Times New Roman" w:cs="Times New Roman"/>
                      <w:b/>
                      <w:bCs/>
                      <w:u w:val="single"/>
                    </w:rPr>
                  </w:pPr>
                  <w:r>
                    <w:rPr>
                      <w:rFonts w:hint="default" w:ascii="Times New Roman" w:hAnsi="Times New Roman" w:cs="Times New Roman"/>
                      <w:b/>
                      <w:bCs/>
                      <w:u w:val="single"/>
                    </w:rPr>
                    <w:t>源强</w:t>
                  </w:r>
                </w:p>
              </w:tc>
              <w:tc>
                <w:tcPr>
                  <w:tcW w:w="3076" w:type="pct"/>
                  <w:gridSpan w:val="8"/>
                  <w:tcBorders>
                    <w:tl2br w:val="nil"/>
                    <w:tr2bl w:val="nil"/>
                  </w:tcBorders>
                  <w:noWrap w:val="0"/>
                  <w:vAlign w:val="center"/>
                </w:tcPr>
                <w:p>
                  <w:pPr>
                    <w:pStyle w:val="38"/>
                    <w:bidi w:val="0"/>
                    <w:rPr>
                      <w:rFonts w:hint="default" w:ascii="Times New Roman" w:hAnsi="Times New Roman" w:cs="Times New Roman"/>
                      <w:b/>
                      <w:bCs/>
                      <w:u w:val="single"/>
                    </w:rPr>
                  </w:pPr>
                  <w:r>
                    <w:rPr>
                      <w:rFonts w:hint="default" w:ascii="Times New Roman" w:hAnsi="Times New Roman" w:cs="Times New Roman"/>
                      <w:b/>
                      <w:bCs/>
                      <w:u w:val="single"/>
                    </w:rPr>
                    <w:t>不同距离（m）处噪声贡献值</w:t>
                  </w:r>
                </w:p>
              </w:tc>
              <w:tc>
                <w:tcPr>
                  <w:tcW w:w="846" w:type="pct"/>
                  <w:gridSpan w:val="2"/>
                  <w:tcBorders>
                    <w:tl2br w:val="nil"/>
                    <w:tr2bl w:val="nil"/>
                  </w:tcBorders>
                  <w:noWrap w:val="0"/>
                  <w:vAlign w:val="center"/>
                </w:tcPr>
                <w:p>
                  <w:pPr>
                    <w:pStyle w:val="38"/>
                    <w:bidi w:val="0"/>
                    <w:rPr>
                      <w:rFonts w:hint="default" w:ascii="Times New Roman" w:hAnsi="Times New Roman" w:cs="Times New Roman"/>
                      <w:b/>
                      <w:bCs/>
                      <w:u w:val="single"/>
                    </w:rPr>
                  </w:pPr>
                  <w:r>
                    <w:rPr>
                      <w:rFonts w:hint="default" w:ascii="Times New Roman" w:hAnsi="Times New Roman" w:cs="Times New Roman"/>
                      <w:b/>
                      <w:bCs/>
                      <w:u w:val="single"/>
                    </w:rPr>
                    <w:t>评价标准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699" w:type="pct"/>
                  <w:vMerge w:val="continue"/>
                  <w:tcBorders>
                    <w:tl2br w:val="nil"/>
                    <w:tr2bl w:val="nil"/>
                  </w:tcBorders>
                  <w:noWrap w:val="0"/>
                  <w:vAlign w:val="center"/>
                </w:tcPr>
                <w:p>
                  <w:pPr>
                    <w:pStyle w:val="38"/>
                    <w:bidi w:val="0"/>
                    <w:rPr>
                      <w:rFonts w:hint="default" w:ascii="Times New Roman" w:hAnsi="Times New Roman" w:cs="Times New Roman"/>
                      <w:b/>
                      <w:bCs/>
                      <w:u w:val="single"/>
                    </w:rPr>
                  </w:pPr>
                </w:p>
              </w:tc>
              <w:tc>
                <w:tcPr>
                  <w:tcW w:w="376" w:type="pct"/>
                  <w:vMerge w:val="continue"/>
                  <w:tcBorders>
                    <w:tl2br w:val="nil"/>
                    <w:tr2bl w:val="nil"/>
                  </w:tcBorders>
                  <w:noWrap w:val="0"/>
                  <w:vAlign w:val="center"/>
                </w:tcPr>
                <w:p>
                  <w:pPr>
                    <w:pStyle w:val="38"/>
                    <w:bidi w:val="0"/>
                    <w:rPr>
                      <w:rFonts w:hint="default" w:ascii="Times New Roman" w:hAnsi="Times New Roman" w:cs="Times New Roman"/>
                      <w:b/>
                      <w:bCs/>
                      <w:u w:val="single"/>
                    </w:rPr>
                  </w:pPr>
                </w:p>
              </w:tc>
              <w:tc>
                <w:tcPr>
                  <w:tcW w:w="382" w:type="pct"/>
                  <w:tcBorders>
                    <w:tl2br w:val="nil"/>
                    <w:tr2bl w:val="nil"/>
                  </w:tcBorders>
                  <w:noWrap w:val="0"/>
                  <w:vAlign w:val="center"/>
                </w:tcPr>
                <w:p>
                  <w:pPr>
                    <w:pStyle w:val="38"/>
                    <w:bidi w:val="0"/>
                    <w:rPr>
                      <w:rFonts w:hint="default" w:ascii="Times New Roman" w:hAnsi="Times New Roman" w:cs="Times New Roman"/>
                      <w:b/>
                      <w:bCs/>
                      <w:u w:val="single"/>
                    </w:rPr>
                  </w:pPr>
                  <w:r>
                    <w:rPr>
                      <w:rFonts w:hint="default" w:ascii="Times New Roman" w:hAnsi="Times New Roman" w:cs="Times New Roman"/>
                      <w:b/>
                      <w:bCs/>
                      <w:u w:val="single"/>
                    </w:rPr>
                    <w:t>10</w:t>
                  </w:r>
                </w:p>
              </w:tc>
              <w:tc>
                <w:tcPr>
                  <w:tcW w:w="383" w:type="pct"/>
                  <w:tcBorders>
                    <w:tl2br w:val="nil"/>
                    <w:tr2bl w:val="nil"/>
                  </w:tcBorders>
                  <w:noWrap w:val="0"/>
                  <w:vAlign w:val="center"/>
                </w:tcPr>
                <w:p>
                  <w:pPr>
                    <w:pStyle w:val="38"/>
                    <w:bidi w:val="0"/>
                    <w:rPr>
                      <w:rFonts w:hint="default" w:ascii="Times New Roman" w:hAnsi="Times New Roman" w:cs="Times New Roman"/>
                      <w:b/>
                      <w:bCs/>
                      <w:u w:val="single"/>
                    </w:rPr>
                  </w:pPr>
                  <w:r>
                    <w:rPr>
                      <w:rFonts w:hint="default" w:ascii="Times New Roman" w:hAnsi="Times New Roman" w:cs="Times New Roman"/>
                      <w:b/>
                      <w:bCs/>
                      <w:u w:val="single"/>
                    </w:rPr>
                    <w:t>20</w:t>
                  </w:r>
                </w:p>
              </w:tc>
              <w:tc>
                <w:tcPr>
                  <w:tcW w:w="384" w:type="pct"/>
                  <w:tcBorders>
                    <w:tl2br w:val="nil"/>
                    <w:tr2bl w:val="nil"/>
                  </w:tcBorders>
                  <w:noWrap w:val="0"/>
                  <w:vAlign w:val="center"/>
                </w:tcPr>
                <w:p>
                  <w:pPr>
                    <w:pStyle w:val="38"/>
                    <w:bidi w:val="0"/>
                    <w:rPr>
                      <w:rFonts w:hint="default" w:ascii="Times New Roman" w:hAnsi="Times New Roman" w:cs="Times New Roman"/>
                      <w:b/>
                      <w:bCs/>
                      <w:u w:val="single"/>
                    </w:rPr>
                  </w:pPr>
                  <w:r>
                    <w:rPr>
                      <w:rFonts w:hint="default" w:ascii="Times New Roman" w:hAnsi="Times New Roman" w:cs="Times New Roman"/>
                      <w:b/>
                      <w:bCs/>
                      <w:u w:val="single"/>
                    </w:rPr>
                    <w:t>35</w:t>
                  </w:r>
                </w:p>
              </w:tc>
              <w:tc>
                <w:tcPr>
                  <w:tcW w:w="384" w:type="pct"/>
                  <w:tcBorders>
                    <w:tl2br w:val="nil"/>
                    <w:tr2bl w:val="nil"/>
                  </w:tcBorders>
                  <w:noWrap w:val="0"/>
                  <w:vAlign w:val="center"/>
                </w:tcPr>
                <w:p>
                  <w:pPr>
                    <w:pStyle w:val="38"/>
                    <w:bidi w:val="0"/>
                    <w:rPr>
                      <w:rFonts w:hint="default" w:ascii="Times New Roman" w:hAnsi="Times New Roman" w:cs="Times New Roman"/>
                      <w:b/>
                      <w:bCs/>
                      <w:u w:val="single"/>
                    </w:rPr>
                  </w:pPr>
                  <w:r>
                    <w:rPr>
                      <w:rFonts w:hint="default" w:ascii="Times New Roman" w:hAnsi="Times New Roman" w:cs="Times New Roman"/>
                      <w:b/>
                      <w:bCs/>
                      <w:u w:val="single"/>
                    </w:rPr>
                    <w:t>50</w:t>
                  </w:r>
                </w:p>
              </w:tc>
              <w:tc>
                <w:tcPr>
                  <w:tcW w:w="384" w:type="pct"/>
                  <w:tcBorders>
                    <w:tl2br w:val="nil"/>
                    <w:tr2bl w:val="nil"/>
                  </w:tcBorders>
                  <w:noWrap w:val="0"/>
                  <w:vAlign w:val="center"/>
                </w:tcPr>
                <w:p>
                  <w:pPr>
                    <w:pStyle w:val="38"/>
                    <w:bidi w:val="0"/>
                    <w:rPr>
                      <w:rFonts w:hint="default" w:ascii="Times New Roman" w:hAnsi="Times New Roman" w:cs="Times New Roman"/>
                      <w:b/>
                      <w:bCs/>
                      <w:u w:val="single"/>
                    </w:rPr>
                  </w:pPr>
                  <w:r>
                    <w:rPr>
                      <w:rFonts w:hint="default" w:ascii="Times New Roman" w:hAnsi="Times New Roman" w:cs="Times New Roman"/>
                      <w:b/>
                      <w:bCs/>
                      <w:u w:val="single"/>
                    </w:rPr>
                    <w:t>65</w:t>
                  </w:r>
                </w:p>
              </w:tc>
              <w:tc>
                <w:tcPr>
                  <w:tcW w:w="384" w:type="pct"/>
                  <w:tcBorders>
                    <w:tl2br w:val="nil"/>
                    <w:tr2bl w:val="nil"/>
                  </w:tcBorders>
                  <w:noWrap w:val="0"/>
                  <w:vAlign w:val="center"/>
                </w:tcPr>
                <w:p>
                  <w:pPr>
                    <w:pStyle w:val="38"/>
                    <w:bidi w:val="0"/>
                    <w:rPr>
                      <w:rFonts w:hint="default" w:ascii="Times New Roman" w:hAnsi="Times New Roman" w:cs="Times New Roman"/>
                      <w:b/>
                      <w:bCs/>
                      <w:u w:val="single"/>
                    </w:rPr>
                  </w:pPr>
                  <w:r>
                    <w:rPr>
                      <w:rFonts w:hint="default" w:ascii="Times New Roman" w:hAnsi="Times New Roman" w:cs="Times New Roman"/>
                      <w:b/>
                      <w:bCs/>
                      <w:u w:val="single"/>
                    </w:rPr>
                    <w:t>80</w:t>
                  </w:r>
                </w:p>
              </w:tc>
              <w:tc>
                <w:tcPr>
                  <w:tcW w:w="384" w:type="pct"/>
                  <w:tcBorders>
                    <w:tl2br w:val="nil"/>
                    <w:tr2bl w:val="nil"/>
                  </w:tcBorders>
                  <w:noWrap w:val="0"/>
                  <w:vAlign w:val="center"/>
                </w:tcPr>
                <w:p>
                  <w:pPr>
                    <w:pStyle w:val="38"/>
                    <w:bidi w:val="0"/>
                    <w:rPr>
                      <w:rFonts w:hint="default" w:ascii="Times New Roman" w:hAnsi="Times New Roman" w:cs="Times New Roman"/>
                      <w:b/>
                      <w:bCs/>
                      <w:u w:val="single"/>
                    </w:rPr>
                  </w:pPr>
                  <w:r>
                    <w:rPr>
                      <w:rFonts w:hint="default" w:ascii="Times New Roman" w:hAnsi="Times New Roman" w:cs="Times New Roman"/>
                      <w:b/>
                      <w:bCs/>
                      <w:u w:val="single"/>
                    </w:rPr>
                    <w:t>100</w:t>
                  </w:r>
                </w:p>
              </w:tc>
              <w:tc>
                <w:tcPr>
                  <w:tcW w:w="387" w:type="pct"/>
                  <w:tcBorders>
                    <w:tl2br w:val="nil"/>
                    <w:tr2bl w:val="nil"/>
                  </w:tcBorders>
                  <w:noWrap w:val="0"/>
                  <w:vAlign w:val="center"/>
                </w:tcPr>
                <w:p>
                  <w:pPr>
                    <w:pStyle w:val="38"/>
                    <w:bidi w:val="0"/>
                    <w:rPr>
                      <w:rFonts w:hint="default" w:ascii="Times New Roman" w:hAnsi="Times New Roman" w:cs="Times New Roman"/>
                      <w:b/>
                      <w:bCs/>
                      <w:u w:val="single"/>
                    </w:rPr>
                  </w:pPr>
                  <w:r>
                    <w:rPr>
                      <w:rFonts w:hint="default" w:ascii="Times New Roman" w:hAnsi="Times New Roman" w:cs="Times New Roman"/>
                      <w:b/>
                      <w:bCs/>
                      <w:u w:val="single"/>
                    </w:rPr>
                    <w:t>200</w:t>
                  </w:r>
                </w:p>
              </w:tc>
              <w:tc>
                <w:tcPr>
                  <w:tcW w:w="383" w:type="pct"/>
                  <w:tcBorders>
                    <w:tl2br w:val="nil"/>
                    <w:tr2bl w:val="nil"/>
                  </w:tcBorders>
                  <w:noWrap w:val="0"/>
                  <w:vAlign w:val="center"/>
                </w:tcPr>
                <w:p>
                  <w:pPr>
                    <w:pStyle w:val="38"/>
                    <w:bidi w:val="0"/>
                    <w:rPr>
                      <w:rFonts w:hint="default" w:ascii="Times New Roman" w:hAnsi="Times New Roman" w:cs="Times New Roman"/>
                      <w:b/>
                      <w:bCs/>
                      <w:u w:val="single"/>
                    </w:rPr>
                  </w:pPr>
                  <w:r>
                    <w:rPr>
                      <w:rFonts w:hint="default" w:ascii="Times New Roman" w:hAnsi="Times New Roman" w:cs="Times New Roman"/>
                      <w:b/>
                      <w:bCs/>
                      <w:u w:val="single"/>
                    </w:rPr>
                    <w:t>昼</w:t>
                  </w:r>
                </w:p>
              </w:tc>
              <w:tc>
                <w:tcPr>
                  <w:tcW w:w="463" w:type="pct"/>
                  <w:tcBorders>
                    <w:tl2br w:val="nil"/>
                    <w:tr2bl w:val="nil"/>
                  </w:tcBorders>
                  <w:noWrap w:val="0"/>
                  <w:vAlign w:val="center"/>
                </w:tcPr>
                <w:p>
                  <w:pPr>
                    <w:pStyle w:val="38"/>
                    <w:bidi w:val="0"/>
                    <w:rPr>
                      <w:rFonts w:hint="default" w:ascii="Times New Roman" w:hAnsi="Times New Roman" w:cs="Times New Roman"/>
                      <w:b/>
                      <w:bCs/>
                      <w:u w:val="single"/>
                    </w:rPr>
                  </w:pPr>
                  <w:r>
                    <w:rPr>
                      <w:rFonts w:hint="default" w:ascii="Times New Roman" w:hAnsi="Times New Roman" w:cs="Times New Roman"/>
                      <w:b/>
                      <w:bCs/>
                      <w:u w:val="single"/>
                    </w:rPr>
                    <w:t>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699" w:type="pct"/>
                  <w:tcBorders>
                    <w:tl2br w:val="nil"/>
                    <w:tr2bl w:val="nil"/>
                  </w:tcBorders>
                  <w:noWrap w:val="0"/>
                  <w:vAlign w:val="center"/>
                </w:tcPr>
                <w:p>
                  <w:pPr>
                    <w:pStyle w:val="38"/>
                    <w:bidi w:val="0"/>
                    <w:ind w:left="0" w:leftChars="0" w:right="0" w:rightChars="0" w:firstLine="0" w:firstLineChars="0"/>
                    <w:rPr>
                      <w:rFonts w:hint="default" w:ascii="Times New Roman" w:hAnsi="Times New Roman" w:cs="Times New Roman"/>
                      <w:u w:val="single"/>
                    </w:rPr>
                  </w:pPr>
                  <w:r>
                    <w:rPr>
                      <w:rFonts w:hint="default" w:ascii="Times New Roman" w:hAnsi="Times New Roman" w:cs="Times New Roman"/>
                      <w:u w:val="single"/>
                      <w:lang w:val="en-US" w:eastAsia="zh-CN"/>
                    </w:rPr>
                    <w:t>变压器</w:t>
                  </w:r>
                </w:p>
              </w:tc>
              <w:tc>
                <w:tcPr>
                  <w:tcW w:w="698" w:type="dxa"/>
                  <w:tcBorders>
                    <w:tl2br w:val="nil"/>
                    <w:tr2bl w:val="nil"/>
                  </w:tcBorders>
                  <w:noWrap w:val="0"/>
                  <w:vAlign w:val="center"/>
                </w:tcPr>
                <w:p>
                  <w:pPr>
                    <w:pStyle w:val="38"/>
                    <w:bidi w:val="0"/>
                    <w:ind w:left="0" w:leftChars="0" w:right="0" w:rightChars="0" w:firstLine="0" w:firstLineChars="0"/>
                    <w:rPr>
                      <w:rFonts w:hint="default" w:ascii="Times New Roman" w:hAnsi="Times New Roman" w:cs="Times New Roman"/>
                      <w:u w:val="single"/>
                    </w:rPr>
                  </w:pPr>
                  <w:r>
                    <w:rPr>
                      <w:rFonts w:hint="default" w:ascii="Times New Roman" w:hAnsi="Times New Roman" w:cs="Times New Roman"/>
                      <w:u w:val="single"/>
                    </w:rPr>
                    <w:t>60</w:t>
                  </w:r>
                </w:p>
              </w:tc>
              <w:tc>
                <w:tcPr>
                  <w:tcW w:w="382" w:type="pct"/>
                  <w:tcBorders>
                    <w:tl2br w:val="nil"/>
                    <w:tr2bl w:val="nil"/>
                  </w:tcBorders>
                  <w:noWrap w:val="0"/>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40</w:t>
                  </w:r>
                </w:p>
              </w:tc>
              <w:tc>
                <w:tcPr>
                  <w:tcW w:w="383" w:type="pct"/>
                  <w:tcBorders>
                    <w:tl2br w:val="nil"/>
                    <w:tr2bl w:val="nil"/>
                  </w:tcBorders>
                  <w:noWrap w:val="0"/>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34</w:t>
                  </w:r>
                </w:p>
              </w:tc>
              <w:tc>
                <w:tcPr>
                  <w:tcW w:w="384" w:type="pct"/>
                  <w:tcBorders>
                    <w:tl2br w:val="nil"/>
                    <w:tr2bl w:val="nil"/>
                  </w:tcBorders>
                  <w:noWrap w:val="0"/>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29.12</w:t>
                  </w:r>
                </w:p>
              </w:tc>
              <w:tc>
                <w:tcPr>
                  <w:tcW w:w="384" w:type="pct"/>
                  <w:tcBorders>
                    <w:tl2br w:val="nil"/>
                    <w:tr2bl w:val="nil"/>
                  </w:tcBorders>
                  <w:noWrap w:val="0"/>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26.02</w:t>
                  </w:r>
                </w:p>
              </w:tc>
              <w:tc>
                <w:tcPr>
                  <w:tcW w:w="384" w:type="pct"/>
                  <w:tcBorders>
                    <w:tl2br w:val="nil"/>
                    <w:tr2bl w:val="nil"/>
                  </w:tcBorders>
                  <w:noWrap w:val="0"/>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23.74</w:t>
                  </w:r>
                </w:p>
              </w:tc>
              <w:tc>
                <w:tcPr>
                  <w:tcW w:w="384" w:type="pct"/>
                  <w:tcBorders>
                    <w:tl2br w:val="nil"/>
                    <w:tr2bl w:val="nil"/>
                  </w:tcBorders>
                  <w:noWrap w:val="0"/>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21.94</w:t>
                  </w:r>
                </w:p>
              </w:tc>
              <w:tc>
                <w:tcPr>
                  <w:tcW w:w="384" w:type="pct"/>
                  <w:tcBorders>
                    <w:tl2br w:val="nil"/>
                    <w:tr2bl w:val="nil"/>
                  </w:tcBorders>
                  <w:noWrap w:val="0"/>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20</w:t>
                  </w:r>
                </w:p>
              </w:tc>
              <w:tc>
                <w:tcPr>
                  <w:tcW w:w="387" w:type="pct"/>
                  <w:tcBorders>
                    <w:tl2br w:val="nil"/>
                    <w:tr2bl w:val="nil"/>
                  </w:tcBorders>
                  <w:noWrap w:val="0"/>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13.98</w:t>
                  </w:r>
                </w:p>
              </w:tc>
              <w:tc>
                <w:tcPr>
                  <w:tcW w:w="383" w:type="pct"/>
                  <w:vMerge w:val="restart"/>
                  <w:tcBorders>
                    <w:tl2br w:val="nil"/>
                    <w:tr2bl w:val="nil"/>
                  </w:tcBorders>
                  <w:noWrap w:val="0"/>
                  <w:vAlign w:val="center"/>
                </w:tcPr>
                <w:p>
                  <w:pPr>
                    <w:pStyle w:val="38"/>
                    <w:bidi w:val="0"/>
                    <w:rPr>
                      <w:rFonts w:hint="default" w:ascii="Times New Roman" w:hAnsi="Times New Roman" w:cs="Times New Roman"/>
                      <w:u w:val="single"/>
                    </w:rPr>
                  </w:pPr>
                  <w:r>
                    <w:rPr>
                      <w:rFonts w:hint="default" w:ascii="Times New Roman" w:hAnsi="Times New Roman" w:cs="Times New Roman"/>
                      <w:u w:val="single"/>
                    </w:rPr>
                    <w:t>60</w:t>
                  </w:r>
                </w:p>
              </w:tc>
              <w:tc>
                <w:tcPr>
                  <w:tcW w:w="463" w:type="pct"/>
                  <w:vMerge w:val="restart"/>
                  <w:tcBorders>
                    <w:tl2br w:val="nil"/>
                    <w:tr2bl w:val="nil"/>
                  </w:tcBorders>
                  <w:noWrap w:val="0"/>
                  <w:vAlign w:val="center"/>
                </w:tcPr>
                <w:p>
                  <w:pPr>
                    <w:pStyle w:val="38"/>
                    <w:bidi w:val="0"/>
                    <w:rPr>
                      <w:rFonts w:hint="default" w:ascii="Times New Roman" w:hAnsi="Times New Roman" w:cs="Times New Roman"/>
                      <w:u w:val="single"/>
                    </w:rPr>
                  </w:pPr>
                  <w:r>
                    <w:rPr>
                      <w:rFonts w:hint="default" w:ascii="Times New Roman" w:hAnsi="Times New Roman" w:cs="Times New Roman"/>
                      <w:u w:val="single"/>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699" w:type="pct"/>
                  <w:tcBorders>
                    <w:tl2br w:val="nil"/>
                    <w:tr2bl w:val="nil"/>
                  </w:tcBorders>
                  <w:noWrap w:val="0"/>
                  <w:vAlign w:val="center"/>
                </w:tcPr>
                <w:p>
                  <w:pPr>
                    <w:pStyle w:val="38"/>
                    <w:bidi w:val="0"/>
                    <w:ind w:left="0" w:leftChars="0" w:right="0" w:rightChars="0" w:firstLine="0" w:firstLineChars="0"/>
                    <w:rPr>
                      <w:rFonts w:hint="default" w:ascii="Times New Roman" w:hAnsi="Times New Roman" w:cs="Times New Roman"/>
                      <w:u w:val="single"/>
                    </w:rPr>
                  </w:pPr>
                  <w:r>
                    <w:rPr>
                      <w:rFonts w:hint="default" w:ascii="Times New Roman" w:hAnsi="Times New Roman" w:cs="Times New Roman"/>
                      <w:u w:val="single"/>
                      <w:lang w:val="en-US" w:eastAsia="zh-CN"/>
                    </w:rPr>
                    <w:t>压缩设备</w:t>
                  </w:r>
                </w:p>
              </w:tc>
              <w:tc>
                <w:tcPr>
                  <w:tcW w:w="698" w:type="dxa"/>
                  <w:tcBorders>
                    <w:tl2br w:val="nil"/>
                    <w:tr2bl w:val="nil"/>
                  </w:tcBorders>
                  <w:noWrap w:val="0"/>
                  <w:vAlign w:val="center"/>
                </w:tcPr>
                <w:p>
                  <w:pPr>
                    <w:pStyle w:val="38"/>
                    <w:bidi w:val="0"/>
                    <w:ind w:left="0" w:leftChars="0" w:right="0" w:rightChars="0" w:firstLine="0" w:firstLineChars="0"/>
                    <w:rPr>
                      <w:rFonts w:hint="default" w:ascii="Times New Roman" w:hAnsi="Times New Roman" w:cs="Times New Roman"/>
                      <w:u w:val="single"/>
                    </w:rPr>
                  </w:pPr>
                  <w:r>
                    <w:rPr>
                      <w:rFonts w:hint="default" w:ascii="Times New Roman" w:hAnsi="Times New Roman" w:cs="Times New Roman"/>
                      <w:u w:val="single"/>
                    </w:rPr>
                    <w:t>60</w:t>
                  </w:r>
                </w:p>
              </w:tc>
              <w:tc>
                <w:tcPr>
                  <w:tcW w:w="709" w:type="dxa"/>
                  <w:tcBorders>
                    <w:tl2br w:val="nil"/>
                    <w:tr2bl w:val="nil"/>
                  </w:tcBorders>
                  <w:noWrap w:val="0"/>
                  <w:vAlign w:val="center"/>
                </w:tcPr>
                <w:p>
                  <w:pPr>
                    <w:pStyle w:val="38"/>
                    <w:bidi w:val="0"/>
                    <w:ind w:left="0" w:leftChars="0" w:right="0" w:rightChars="0" w:firstLine="0" w:firstLineChars="0"/>
                    <w:rPr>
                      <w:rFonts w:hint="default" w:ascii="Times New Roman" w:hAnsi="Times New Roman" w:cs="Times New Roman"/>
                      <w:u w:val="single"/>
                    </w:rPr>
                  </w:pPr>
                  <w:r>
                    <w:rPr>
                      <w:rFonts w:hint="default" w:ascii="Times New Roman" w:hAnsi="Times New Roman" w:cs="Times New Roman"/>
                      <w:u w:val="single"/>
                      <w:lang w:val="en-US" w:eastAsia="zh-CN"/>
                    </w:rPr>
                    <w:t>40</w:t>
                  </w:r>
                </w:p>
              </w:tc>
              <w:tc>
                <w:tcPr>
                  <w:tcW w:w="711" w:type="dxa"/>
                  <w:tcBorders>
                    <w:tl2br w:val="nil"/>
                    <w:tr2bl w:val="nil"/>
                  </w:tcBorders>
                  <w:noWrap w:val="0"/>
                  <w:vAlign w:val="center"/>
                </w:tcPr>
                <w:p>
                  <w:pPr>
                    <w:pStyle w:val="38"/>
                    <w:bidi w:val="0"/>
                    <w:ind w:left="0" w:leftChars="0" w:right="0" w:rightChars="0" w:firstLine="0" w:firstLineChars="0"/>
                    <w:rPr>
                      <w:rFonts w:hint="default" w:ascii="Times New Roman" w:hAnsi="Times New Roman" w:cs="Times New Roman"/>
                      <w:u w:val="single"/>
                    </w:rPr>
                  </w:pPr>
                  <w:r>
                    <w:rPr>
                      <w:rFonts w:hint="default" w:ascii="Times New Roman" w:hAnsi="Times New Roman" w:cs="Times New Roman"/>
                      <w:u w:val="single"/>
                      <w:lang w:val="en-US" w:eastAsia="zh-CN"/>
                    </w:rPr>
                    <w:t>34</w:t>
                  </w:r>
                </w:p>
              </w:tc>
              <w:tc>
                <w:tcPr>
                  <w:tcW w:w="712" w:type="dxa"/>
                  <w:tcBorders>
                    <w:tl2br w:val="nil"/>
                    <w:tr2bl w:val="nil"/>
                  </w:tcBorders>
                  <w:noWrap w:val="0"/>
                  <w:vAlign w:val="center"/>
                </w:tcPr>
                <w:p>
                  <w:pPr>
                    <w:pStyle w:val="38"/>
                    <w:bidi w:val="0"/>
                    <w:ind w:left="0" w:leftChars="0" w:right="0" w:rightChars="0" w:firstLine="0" w:firstLineChars="0"/>
                    <w:rPr>
                      <w:rFonts w:hint="default" w:ascii="Times New Roman" w:hAnsi="Times New Roman" w:cs="Times New Roman"/>
                      <w:u w:val="single"/>
                    </w:rPr>
                  </w:pPr>
                  <w:r>
                    <w:rPr>
                      <w:rFonts w:hint="default" w:ascii="Times New Roman" w:hAnsi="Times New Roman" w:cs="Times New Roman"/>
                      <w:u w:val="single"/>
                      <w:lang w:val="en-US" w:eastAsia="zh-CN"/>
                    </w:rPr>
                    <w:t>29.12</w:t>
                  </w:r>
                </w:p>
              </w:tc>
              <w:tc>
                <w:tcPr>
                  <w:tcW w:w="712" w:type="dxa"/>
                  <w:tcBorders>
                    <w:tl2br w:val="nil"/>
                    <w:tr2bl w:val="nil"/>
                  </w:tcBorders>
                  <w:noWrap w:val="0"/>
                  <w:vAlign w:val="center"/>
                </w:tcPr>
                <w:p>
                  <w:pPr>
                    <w:pStyle w:val="38"/>
                    <w:bidi w:val="0"/>
                    <w:ind w:left="0" w:leftChars="0" w:right="0" w:rightChars="0" w:firstLine="0" w:firstLineChars="0"/>
                    <w:rPr>
                      <w:rFonts w:hint="default" w:ascii="Times New Roman" w:hAnsi="Times New Roman" w:cs="Times New Roman"/>
                      <w:u w:val="single"/>
                    </w:rPr>
                  </w:pPr>
                  <w:r>
                    <w:rPr>
                      <w:rFonts w:hint="default" w:ascii="Times New Roman" w:hAnsi="Times New Roman" w:cs="Times New Roman"/>
                      <w:u w:val="single"/>
                      <w:lang w:val="en-US" w:eastAsia="zh-CN"/>
                    </w:rPr>
                    <w:t>26.02</w:t>
                  </w:r>
                </w:p>
              </w:tc>
              <w:tc>
                <w:tcPr>
                  <w:tcW w:w="712" w:type="dxa"/>
                  <w:tcBorders>
                    <w:tl2br w:val="nil"/>
                    <w:tr2bl w:val="nil"/>
                  </w:tcBorders>
                  <w:noWrap w:val="0"/>
                  <w:vAlign w:val="center"/>
                </w:tcPr>
                <w:p>
                  <w:pPr>
                    <w:pStyle w:val="38"/>
                    <w:bidi w:val="0"/>
                    <w:ind w:left="0" w:leftChars="0" w:right="0" w:rightChars="0" w:firstLine="0" w:firstLineChars="0"/>
                    <w:rPr>
                      <w:rFonts w:hint="default" w:ascii="Times New Roman" w:hAnsi="Times New Roman" w:cs="Times New Roman"/>
                      <w:u w:val="single"/>
                    </w:rPr>
                  </w:pPr>
                  <w:r>
                    <w:rPr>
                      <w:rFonts w:hint="default" w:ascii="Times New Roman" w:hAnsi="Times New Roman" w:cs="Times New Roman"/>
                      <w:u w:val="single"/>
                      <w:lang w:val="en-US" w:eastAsia="zh-CN"/>
                    </w:rPr>
                    <w:t>23.74</w:t>
                  </w:r>
                </w:p>
              </w:tc>
              <w:tc>
                <w:tcPr>
                  <w:tcW w:w="712" w:type="dxa"/>
                  <w:tcBorders>
                    <w:tl2br w:val="nil"/>
                    <w:tr2bl w:val="nil"/>
                  </w:tcBorders>
                  <w:noWrap w:val="0"/>
                  <w:vAlign w:val="center"/>
                </w:tcPr>
                <w:p>
                  <w:pPr>
                    <w:pStyle w:val="38"/>
                    <w:bidi w:val="0"/>
                    <w:ind w:left="0" w:leftChars="0" w:right="0" w:rightChars="0" w:firstLine="0" w:firstLineChars="0"/>
                    <w:rPr>
                      <w:rFonts w:hint="default" w:ascii="Times New Roman" w:hAnsi="Times New Roman" w:cs="Times New Roman"/>
                      <w:u w:val="single"/>
                    </w:rPr>
                  </w:pPr>
                  <w:r>
                    <w:rPr>
                      <w:rFonts w:hint="default" w:ascii="Times New Roman" w:hAnsi="Times New Roman" w:cs="Times New Roman"/>
                      <w:u w:val="single"/>
                      <w:lang w:val="en-US" w:eastAsia="zh-CN"/>
                    </w:rPr>
                    <w:t>21.94</w:t>
                  </w:r>
                </w:p>
              </w:tc>
              <w:tc>
                <w:tcPr>
                  <w:tcW w:w="712" w:type="dxa"/>
                  <w:tcBorders>
                    <w:tl2br w:val="nil"/>
                    <w:tr2bl w:val="nil"/>
                  </w:tcBorders>
                  <w:noWrap w:val="0"/>
                  <w:vAlign w:val="center"/>
                </w:tcPr>
                <w:p>
                  <w:pPr>
                    <w:pStyle w:val="38"/>
                    <w:bidi w:val="0"/>
                    <w:ind w:left="0" w:leftChars="0" w:right="0" w:rightChars="0" w:firstLine="0" w:firstLineChars="0"/>
                    <w:rPr>
                      <w:rFonts w:hint="default" w:ascii="Times New Roman" w:hAnsi="Times New Roman" w:cs="Times New Roman"/>
                      <w:u w:val="single"/>
                    </w:rPr>
                  </w:pPr>
                  <w:r>
                    <w:rPr>
                      <w:rFonts w:hint="default" w:ascii="Times New Roman" w:hAnsi="Times New Roman" w:cs="Times New Roman"/>
                      <w:u w:val="single"/>
                      <w:lang w:val="en-US" w:eastAsia="zh-CN"/>
                    </w:rPr>
                    <w:t>20</w:t>
                  </w:r>
                </w:p>
              </w:tc>
              <w:tc>
                <w:tcPr>
                  <w:tcW w:w="725" w:type="dxa"/>
                  <w:tcBorders>
                    <w:tl2br w:val="nil"/>
                    <w:tr2bl w:val="nil"/>
                  </w:tcBorders>
                  <w:noWrap w:val="0"/>
                  <w:vAlign w:val="center"/>
                </w:tcPr>
                <w:p>
                  <w:pPr>
                    <w:pStyle w:val="38"/>
                    <w:bidi w:val="0"/>
                    <w:ind w:left="0" w:leftChars="0" w:right="0" w:rightChars="0" w:firstLine="0" w:firstLineChars="0"/>
                    <w:rPr>
                      <w:rFonts w:hint="default" w:ascii="Times New Roman" w:hAnsi="Times New Roman" w:cs="Times New Roman"/>
                      <w:u w:val="single"/>
                    </w:rPr>
                  </w:pPr>
                  <w:r>
                    <w:rPr>
                      <w:rFonts w:hint="default" w:ascii="Times New Roman" w:hAnsi="Times New Roman" w:cs="Times New Roman"/>
                      <w:u w:val="single"/>
                      <w:lang w:val="en-US" w:eastAsia="zh-CN"/>
                    </w:rPr>
                    <w:t>13.98</w:t>
                  </w:r>
                </w:p>
              </w:tc>
              <w:tc>
                <w:tcPr>
                  <w:tcW w:w="383" w:type="pct"/>
                  <w:vMerge w:val="continue"/>
                  <w:tcBorders>
                    <w:tl2br w:val="nil"/>
                    <w:tr2bl w:val="nil"/>
                  </w:tcBorders>
                  <w:noWrap w:val="0"/>
                  <w:vAlign w:val="center"/>
                </w:tcPr>
                <w:p>
                  <w:pPr>
                    <w:pStyle w:val="38"/>
                    <w:bidi w:val="0"/>
                    <w:rPr>
                      <w:rFonts w:hint="default" w:ascii="Times New Roman" w:hAnsi="Times New Roman" w:cs="Times New Roman"/>
                      <w:u w:val="single"/>
                    </w:rPr>
                  </w:pPr>
                </w:p>
              </w:tc>
              <w:tc>
                <w:tcPr>
                  <w:tcW w:w="463" w:type="pct"/>
                  <w:vMerge w:val="continue"/>
                  <w:tcBorders>
                    <w:tl2br w:val="nil"/>
                    <w:tr2bl w:val="nil"/>
                  </w:tcBorders>
                  <w:noWrap w:val="0"/>
                  <w:vAlign w:val="center"/>
                </w:tcPr>
                <w:p>
                  <w:pPr>
                    <w:pStyle w:val="38"/>
                    <w:bidi w:val="0"/>
                    <w:rPr>
                      <w:rFonts w:hint="default" w:ascii="Times New Roman" w:hAnsi="Times New Roman" w:cs="Times New Roman"/>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699" w:type="pct"/>
                  <w:tcBorders>
                    <w:tl2br w:val="nil"/>
                    <w:tr2bl w:val="nil"/>
                  </w:tcBorders>
                  <w:noWrap w:val="0"/>
                  <w:vAlign w:val="center"/>
                </w:tcPr>
                <w:p>
                  <w:pPr>
                    <w:pStyle w:val="38"/>
                    <w:bidi w:val="0"/>
                    <w:ind w:left="0" w:leftChars="0" w:right="0" w:rightChars="0" w:firstLine="0" w:firstLineChars="0"/>
                    <w:rPr>
                      <w:rFonts w:hint="default" w:ascii="Times New Roman" w:hAnsi="Times New Roman" w:cs="Times New Roman"/>
                      <w:u w:val="single"/>
                    </w:rPr>
                  </w:pPr>
                  <w:r>
                    <w:rPr>
                      <w:rFonts w:hint="default" w:ascii="Times New Roman" w:hAnsi="Times New Roman" w:cs="Times New Roman"/>
                      <w:u w:val="single"/>
                      <w:lang w:val="en-US" w:eastAsia="zh-CN"/>
                    </w:rPr>
                    <w:t>除臭设施</w:t>
                  </w:r>
                </w:p>
              </w:tc>
              <w:tc>
                <w:tcPr>
                  <w:tcW w:w="698" w:type="dxa"/>
                  <w:tcBorders>
                    <w:tl2br w:val="nil"/>
                    <w:tr2bl w:val="nil"/>
                  </w:tcBorders>
                  <w:noWrap w:val="0"/>
                  <w:vAlign w:val="center"/>
                </w:tcPr>
                <w:p>
                  <w:pPr>
                    <w:pStyle w:val="38"/>
                    <w:bidi w:val="0"/>
                    <w:ind w:left="0" w:leftChars="0" w:right="0" w:rightChars="0" w:firstLine="0" w:firstLineChars="0"/>
                    <w:rPr>
                      <w:rFonts w:hint="default" w:ascii="Times New Roman" w:hAnsi="Times New Roman" w:cs="Times New Roman"/>
                      <w:u w:val="single"/>
                    </w:rPr>
                  </w:pPr>
                  <w:r>
                    <w:rPr>
                      <w:rFonts w:hint="default" w:ascii="Times New Roman" w:hAnsi="Times New Roman" w:cs="Times New Roman"/>
                      <w:u w:val="single"/>
                      <w:lang w:val="en-US" w:eastAsia="zh-CN"/>
                    </w:rPr>
                    <w:t>60</w:t>
                  </w:r>
                </w:p>
              </w:tc>
              <w:tc>
                <w:tcPr>
                  <w:tcW w:w="709" w:type="dxa"/>
                  <w:tcBorders>
                    <w:tl2br w:val="nil"/>
                    <w:tr2bl w:val="nil"/>
                  </w:tcBorders>
                  <w:noWrap w:val="0"/>
                  <w:vAlign w:val="center"/>
                </w:tcPr>
                <w:p>
                  <w:pPr>
                    <w:pStyle w:val="38"/>
                    <w:bidi w:val="0"/>
                    <w:ind w:left="0" w:leftChars="0" w:right="0" w:rightChars="0" w:firstLine="0" w:firstLineChars="0"/>
                    <w:rPr>
                      <w:rFonts w:hint="default" w:ascii="Times New Roman" w:hAnsi="Times New Roman" w:cs="Times New Roman"/>
                      <w:u w:val="single"/>
                    </w:rPr>
                  </w:pPr>
                  <w:r>
                    <w:rPr>
                      <w:rFonts w:hint="default" w:ascii="Times New Roman" w:hAnsi="Times New Roman" w:cs="Times New Roman"/>
                      <w:u w:val="single"/>
                      <w:lang w:val="en-US" w:eastAsia="zh-CN"/>
                    </w:rPr>
                    <w:t>40</w:t>
                  </w:r>
                </w:p>
              </w:tc>
              <w:tc>
                <w:tcPr>
                  <w:tcW w:w="711" w:type="dxa"/>
                  <w:tcBorders>
                    <w:tl2br w:val="nil"/>
                    <w:tr2bl w:val="nil"/>
                  </w:tcBorders>
                  <w:noWrap w:val="0"/>
                  <w:vAlign w:val="center"/>
                </w:tcPr>
                <w:p>
                  <w:pPr>
                    <w:pStyle w:val="38"/>
                    <w:bidi w:val="0"/>
                    <w:ind w:left="0" w:leftChars="0" w:right="0" w:rightChars="0" w:firstLine="0" w:firstLineChars="0"/>
                    <w:rPr>
                      <w:rFonts w:hint="default" w:ascii="Times New Roman" w:hAnsi="Times New Roman" w:cs="Times New Roman"/>
                      <w:u w:val="single"/>
                    </w:rPr>
                  </w:pPr>
                  <w:r>
                    <w:rPr>
                      <w:rFonts w:hint="default" w:ascii="Times New Roman" w:hAnsi="Times New Roman" w:cs="Times New Roman"/>
                      <w:u w:val="single"/>
                      <w:lang w:val="en-US" w:eastAsia="zh-CN"/>
                    </w:rPr>
                    <w:t>34</w:t>
                  </w:r>
                </w:p>
              </w:tc>
              <w:tc>
                <w:tcPr>
                  <w:tcW w:w="712" w:type="dxa"/>
                  <w:tcBorders>
                    <w:tl2br w:val="nil"/>
                    <w:tr2bl w:val="nil"/>
                  </w:tcBorders>
                  <w:noWrap w:val="0"/>
                  <w:vAlign w:val="center"/>
                </w:tcPr>
                <w:p>
                  <w:pPr>
                    <w:pStyle w:val="38"/>
                    <w:bidi w:val="0"/>
                    <w:ind w:left="0" w:leftChars="0" w:right="0" w:rightChars="0" w:firstLine="0" w:firstLineChars="0"/>
                    <w:rPr>
                      <w:rFonts w:hint="default" w:ascii="Times New Roman" w:hAnsi="Times New Roman" w:cs="Times New Roman"/>
                      <w:u w:val="single"/>
                    </w:rPr>
                  </w:pPr>
                  <w:r>
                    <w:rPr>
                      <w:rFonts w:hint="default" w:ascii="Times New Roman" w:hAnsi="Times New Roman" w:cs="Times New Roman"/>
                      <w:u w:val="single"/>
                      <w:lang w:val="en-US" w:eastAsia="zh-CN"/>
                    </w:rPr>
                    <w:t>29.12</w:t>
                  </w:r>
                </w:p>
              </w:tc>
              <w:tc>
                <w:tcPr>
                  <w:tcW w:w="712" w:type="dxa"/>
                  <w:tcBorders>
                    <w:tl2br w:val="nil"/>
                    <w:tr2bl w:val="nil"/>
                  </w:tcBorders>
                  <w:noWrap w:val="0"/>
                  <w:vAlign w:val="center"/>
                </w:tcPr>
                <w:p>
                  <w:pPr>
                    <w:pStyle w:val="38"/>
                    <w:bidi w:val="0"/>
                    <w:ind w:left="0" w:leftChars="0" w:right="0" w:rightChars="0" w:firstLine="0" w:firstLineChars="0"/>
                    <w:rPr>
                      <w:rFonts w:hint="default" w:ascii="Times New Roman" w:hAnsi="Times New Roman" w:cs="Times New Roman"/>
                      <w:u w:val="single"/>
                    </w:rPr>
                  </w:pPr>
                  <w:r>
                    <w:rPr>
                      <w:rFonts w:hint="default" w:ascii="Times New Roman" w:hAnsi="Times New Roman" w:cs="Times New Roman"/>
                      <w:u w:val="single"/>
                      <w:lang w:val="en-US" w:eastAsia="zh-CN"/>
                    </w:rPr>
                    <w:t>26.02</w:t>
                  </w:r>
                </w:p>
              </w:tc>
              <w:tc>
                <w:tcPr>
                  <w:tcW w:w="712" w:type="dxa"/>
                  <w:tcBorders>
                    <w:tl2br w:val="nil"/>
                    <w:tr2bl w:val="nil"/>
                  </w:tcBorders>
                  <w:noWrap w:val="0"/>
                  <w:vAlign w:val="center"/>
                </w:tcPr>
                <w:p>
                  <w:pPr>
                    <w:pStyle w:val="38"/>
                    <w:bidi w:val="0"/>
                    <w:ind w:left="0" w:leftChars="0" w:right="0" w:rightChars="0" w:firstLine="0" w:firstLineChars="0"/>
                    <w:rPr>
                      <w:rFonts w:hint="default" w:ascii="Times New Roman" w:hAnsi="Times New Roman" w:cs="Times New Roman"/>
                      <w:u w:val="single"/>
                    </w:rPr>
                  </w:pPr>
                  <w:r>
                    <w:rPr>
                      <w:rFonts w:hint="default" w:ascii="Times New Roman" w:hAnsi="Times New Roman" w:cs="Times New Roman"/>
                      <w:u w:val="single"/>
                      <w:lang w:val="en-US" w:eastAsia="zh-CN"/>
                    </w:rPr>
                    <w:t>23.74</w:t>
                  </w:r>
                </w:p>
              </w:tc>
              <w:tc>
                <w:tcPr>
                  <w:tcW w:w="712" w:type="dxa"/>
                  <w:tcBorders>
                    <w:tl2br w:val="nil"/>
                    <w:tr2bl w:val="nil"/>
                  </w:tcBorders>
                  <w:noWrap w:val="0"/>
                  <w:vAlign w:val="center"/>
                </w:tcPr>
                <w:p>
                  <w:pPr>
                    <w:pStyle w:val="38"/>
                    <w:bidi w:val="0"/>
                    <w:ind w:left="0" w:leftChars="0" w:right="0" w:rightChars="0" w:firstLine="0" w:firstLineChars="0"/>
                    <w:rPr>
                      <w:rFonts w:hint="default" w:ascii="Times New Roman" w:hAnsi="Times New Roman" w:cs="Times New Roman"/>
                      <w:u w:val="single"/>
                    </w:rPr>
                  </w:pPr>
                  <w:r>
                    <w:rPr>
                      <w:rFonts w:hint="default" w:ascii="Times New Roman" w:hAnsi="Times New Roman" w:cs="Times New Roman"/>
                      <w:u w:val="single"/>
                      <w:lang w:val="en-US" w:eastAsia="zh-CN"/>
                    </w:rPr>
                    <w:t>21.94</w:t>
                  </w:r>
                </w:p>
              </w:tc>
              <w:tc>
                <w:tcPr>
                  <w:tcW w:w="712" w:type="dxa"/>
                  <w:tcBorders>
                    <w:tl2br w:val="nil"/>
                    <w:tr2bl w:val="nil"/>
                  </w:tcBorders>
                  <w:noWrap w:val="0"/>
                  <w:vAlign w:val="center"/>
                </w:tcPr>
                <w:p>
                  <w:pPr>
                    <w:pStyle w:val="38"/>
                    <w:bidi w:val="0"/>
                    <w:ind w:left="0" w:leftChars="0" w:right="0" w:rightChars="0" w:firstLine="0" w:firstLineChars="0"/>
                    <w:rPr>
                      <w:rFonts w:hint="default" w:ascii="Times New Roman" w:hAnsi="Times New Roman" w:cs="Times New Roman"/>
                      <w:u w:val="single"/>
                    </w:rPr>
                  </w:pPr>
                  <w:r>
                    <w:rPr>
                      <w:rFonts w:hint="default" w:ascii="Times New Roman" w:hAnsi="Times New Roman" w:cs="Times New Roman"/>
                      <w:u w:val="single"/>
                      <w:lang w:val="en-US" w:eastAsia="zh-CN"/>
                    </w:rPr>
                    <w:t>20</w:t>
                  </w:r>
                </w:p>
              </w:tc>
              <w:tc>
                <w:tcPr>
                  <w:tcW w:w="725" w:type="dxa"/>
                  <w:tcBorders>
                    <w:tl2br w:val="nil"/>
                    <w:tr2bl w:val="nil"/>
                  </w:tcBorders>
                  <w:noWrap w:val="0"/>
                  <w:vAlign w:val="center"/>
                </w:tcPr>
                <w:p>
                  <w:pPr>
                    <w:pStyle w:val="38"/>
                    <w:bidi w:val="0"/>
                    <w:ind w:left="0" w:leftChars="0" w:right="0" w:rightChars="0" w:firstLine="0" w:firstLineChars="0"/>
                    <w:rPr>
                      <w:rFonts w:hint="default" w:ascii="Times New Roman" w:hAnsi="Times New Roman" w:cs="Times New Roman"/>
                      <w:u w:val="single"/>
                    </w:rPr>
                  </w:pPr>
                  <w:r>
                    <w:rPr>
                      <w:rFonts w:hint="default" w:ascii="Times New Roman" w:hAnsi="Times New Roman" w:cs="Times New Roman"/>
                      <w:u w:val="single"/>
                      <w:lang w:val="en-US" w:eastAsia="zh-CN"/>
                    </w:rPr>
                    <w:t>13.98</w:t>
                  </w:r>
                </w:p>
              </w:tc>
              <w:tc>
                <w:tcPr>
                  <w:tcW w:w="383" w:type="pct"/>
                  <w:vMerge w:val="continue"/>
                  <w:tcBorders>
                    <w:tl2br w:val="nil"/>
                    <w:tr2bl w:val="nil"/>
                  </w:tcBorders>
                  <w:noWrap w:val="0"/>
                  <w:vAlign w:val="center"/>
                </w:tcPr>
                <w:p>
                  <w:pPr>
                    <w:pStyle w:val="38"/>
                    <w:bidi w:val="0"/>
                    <w:rPr>
                      <w:rFonts w:hint="default" w:ascii="Times New Roman" w:hAnsi="Times New Roman" w:cs="Times New Roman"/>
                      <w:u w:val="single"/>
                    </w:rPr>
                  </w:pPr>
                </w:p>
              </w:tc>
              <w:tc>
                <w:tcPr>
                  <w:tcW w:w="463" w:type="pct"/>
                  <w:vMerge w:val="continue"/>
                  <w:tcBorders>
                    <w:tl2br w:val="nil"/>
                    <w:tr2bl w:val="nil"/>
                  </w:tcBorders>
                  <w:noWrap w:val="0"/>
                  <w:vAlign w:val="center"/>
                </w:tcPr>
                <w:p>
                  <w:pPr>
                    <w:pStyle w:val="38"/>
                    <w:bidi w:val="0"/>
                    <w:rPr>
                      <w:rFonts w:hint="default" w:ascii="Times New Roman" w:hAnsi="Times New Roman" w:cs="Times New Roman"/>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699" w:type="pct"/>
                  <w:tcBorders>
                    <w:tl2br w:val="nil"/>
                    <w:tr2bl w:val="nil"/>
                  </w:tcBorders>
                  <w:noWrap w:val="0"/>
                  <w:vAlign w:val="center"/>
                </w:tcPr>
                <w:p>
                  <w:pPr>
                    <w:pStyle w:val="38"/>
                    <w:bidi w:val="0"/>
                    <w:ind w:left="0" w:leftChars="0" w:right="0" w:rightChars="0" w:firstLine="0" w:firstLineChars="0"/>
                    <w:rPr>
                      <w:rFonts w:hint="default" w:ascii="Times New Roman" w:hAnsi="Times New Roman" w:cs="Times New Roman"/>
                      <w:u w:val="single"/>
                    </w:rPr>
                  </w:pPr>
                  <w:r>
                    <w:rPr>
                      <w:rFonts w:hint="default" w:ascii="Times New Roman" w:hAnsi="Times New Roman" w:cs="Times New Roman"/>
                      <w:u w:val="single"/>
                      <w:lang w:val="en-US" w:eastAsia="zh-CN"/>
                    </w:rPr>
                    <w:t>风机</w:t>
                  </w:r>
                </w:p>
              </w:tc>
              <w:tc>
                <w:tcPr>
                  <w:tcW w:w="698" w:type="dxa"/>
                  <w:tcBorders>
                    <w:tl2br w:val="nil"/>
                    <w:tr2bl w:val="nil"/>
                  </w:tcBorders>
                  <w:noWrap w:val="0"/>
                  <w:vAlign w:val="center"/>
                </w:tcPr>
                <w:p>
                  <w:pPr>
                    <w:pStyle w:val="38"/>
                    <w:bidi w:val="0"/>
                    <w:ind w:left="0" w:leftChars="0" w:right="0" w:rightChars="0" w:firstLine="0" w:firstLineChars="0"/>
                    <w:rPr>
                      <w:rFonts w:hint="default" w:ascii="Times New Roman" w:hAnsi="Times New Roman" w:cs="Times New Roman"/>
                      <w:u w:val="single"/>
                    </w:rPr>
                  </w:pPr>
                  <w:r>
                    <w:rPr>
                      <w:rFonts w:hint="default" w:ascii="Times New Roman" w:hAnsi="Times New Roman" w:cs="Times New Roman"/>
                      <w:u w:val="single"/>
                      <w:lang w:val="en-US" w:eastAsia="zh-CN"/>
                    </w:rPr>
                    <w:t>70</w:t>
                  </w:r>
                </w:p>
              </w:tc>
              <w:tc>
                <w:tcPr>
                  <w:tcW w:w="382" w:type="pct"/>
                  <w:tcBorders>
                    <w:tl2br w:val="nil"/>
                    <w:tr2bl w:val="nil"/>
                  </w:tcBorders>
                  <w:noWrap w:val="0"/>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50</w:t>
                  </w:r>
                </w:p>
              </w:tc>
              <w:tc>
                <w:tcPr>
                  <w:tcW w:w="383" w:type="pct"/>
                  <w:tcBorders>
                    <w:tl2br w:val="nil"/>
                    <w:tr2bl w:val="nil"/>
                  </w:tcBorders>
                  <w:noWrap w:val="0"/>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43.98</w:t>
                  </w:r>
                </w:p>
              </w:tc>
              <w:tc>
                <w:tcPr>
                  <w:tcW w:w="384" w:type="pct"/>
                  <w:tcBorders>
                    <w:tl2br w:val="nil"/>
                    <w:tr2bl w:val="nil"/>
                  </w:tcBorders>
                  <w:noWrap w:val="0"/>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39.12</w:t>
                  </w:r>
                </w:p>
              </w:tc>
              <w:tc>
                <w:tcPr>
                  <w:tcW w:w="384" w:type="pct"/>
                  <w:tcBorders>
                    <w:tl2br w:val="nil"/>
                    <w:tr2bl w:val="nil"/>
                  </w:tcBorders>
                  <w:noWrap w:val="0"/>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36.02</w:t>
                  </w:r>
                </w:p>
              </w:tc>
              <w:tc>
                <w:tcPr>
                  <w:tcW w:w="384" w:type="pct"/>
                  <w:tcBorders>
                    <w:tl2br w:val="nil"/>
                    <w:tr2bl w:val="nil"/>
                  </w:tcBorders>
                  <w:noWrap w:val="0"/>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33.74</w:t>
                  </w:r>
                </w:p>
              </w:tc>
              <w:tc>
                <w:tcPr>
                  <w:tcW w:w="384" w:type="pct"/>
                  <w:tcBorders>
                    <w:tl2br w:val="nil"/>
                    <w:tr2bl w:val="nil"/>
                  </w:tcBorders>
                  <w:noWrap w:val="0"/>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31.94</w:t>
                  </w:r>
                </w:p>
              </w:tc>
              <w:tc>
                <w:tcPr>
                  <w:tcW w:w="384" w:type="pct"/>
                  <w:tcBorders>
                    <w:tl2br w:val="nil"/>
                    <w:tr2bl w:val="nil"/>
                  </w:tcBorders>
                  <w:noWrap w:val="0"/>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30</w:t>
                  </w:r>
                </w:p>
              </w:tc>
              <w:tc>
                <w:tcPr>
                  <w:tcW w:w="387" w:type="pct"/>
                  <w:tcBorders>
                    <w:tl2br w:val="nil"/>
                    <w:tr2bl w:val="nil"/>
                  </w:tcBorders>
                  <w:noWrap w:val="0"/>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23.98</w:t>
                  </w:r>
                </w:p>
              </w:tc>
              <w:tc>
                <w:tcPr>
                  <w:tcW w:w="383" w:type="pct"/>
                  <w:vMerge w:val="continue"/>
                  <w:tcBorders>
                    <w:tl2br w:val="nil"/>
                    <w:tr2bl w:val="nil"/>
                  </w:tcBorders>
                  <w:noWrap w:val="0"/>
                  <w:vAlign w:val="center"/>
                </w:tcPr>
                <w:p>
                  <w:pPr>
                    <w:pStyle w:val="38"/>
                    <w:bidi w:val="0"/>
                    <w:rPr>
                      <w:rFonts w:hint="default" w:ascii="Times New Roman" w:hAnsi="Times New Roman" w:cs="Times New Roman"/>
                      <w:u w:val="single"/>
                    </w:rPr>
                  </w:pPr>
                </w:p>
              </w:tc>
              <w:tc>
                <w:tcPr>
                  <w:tcW w:w="463" w:type="pct"/>
                  <w:vMerge w:val="continue"/>
                  <w:tcBorders>
                    <w:tl2br w:val="nil"/>
                    <w:tr2bl w:val="nil"/>
                  </w:tcBorders>
                  <w:noWrap w:val="0"/>
                  <w:vAlign w:val="center"/>
                </w:tcPr>
                <w:p>
                  <w:pPr>
                    <w:pStyle w:val="38"/>
                    <w:bidi w:val="0"/>
                    <w:rPr>
                      <w:rFonts w:hint="default" w:ascii="Times New Roman" w:hAnsi="Times New Roman" w:cs="Times New Roman"/>
                      <w:u w:val="single"/>
                    </w:rPr>
                  </w:pPr>
                </w:p>
              </w:tc>
            </w:tr>
          </w:tbl>
          <w:p>
            <w:pPr>
              <w:keepNext w:val="0"/>
              <w:keepLines w:val="0"/>
              <w:pageBreakBefore w:val="0"/>
              <w:widowControl w:val="0"/>
              <w:kinsoku/>
              <w:wordWrap w:val="0"/>
              <w:overflowPunct/>
              <w:topLinePunct w:val="0"/>
              <w:autoSpaceDE w:val="0"/>
              <w:autoSpaceDN w:val="0"/>
              <w:bidi w:val="0"/>
              <w:adjustRightInd/>
              <w:snapToGrid/>
              <w:spacing w:before="0" w:beforeLines="100" w:line="360" w:lineRule="auto"/>
              <w:ind w:firstLine="480" w:firstLineChars="200"/>
              <w:textAlignment w:val="auto"/>
              <w:rPr>
                <w:rFonts w:hint="default" w:ascii="Times New Roman" w:hAnsi="Times New Roman" w:eastAsia="宋体" w:cs="Times New Roman"/>
                <w:kern w:val="0"/>
                <w:sz w:val="24"/>
                <w:szCs w:val="20"/>
                <w:u w:val="single"/>
                <w:lang w:val="en-US" w:eastAsia="zh-CN" w:bidi="th-TH"/>
              </w:rPr>
            </w:pPr>
            <w:r>
              <w:rPr>
                <w:rFonts w:hint="default" w:ascii="Times New Roman" w:hAnsi="Times New Roman" w:cs="Times New Roman"/>
                <w:kern w:val="0"/>
                <w:sz w:val="24"/>
                <w:szCs w:val="20"/>
                <w:u w:val="single"/>
                <w:lang w:eastAsia="zh-CN" w:bidi="th-TH"/>
              </w:rPr>
              <w:t>根据现场踏勘可知，项目</w:t>
            </w:r>
            <w:r>
              <w:rPr>
                <w:rFonts w:hint="default" w:ascii="Times New Roman" w:hAnsi="Times New Roman" w:cs="Times New Roman"/>
                <w:kern w:val="0"/>
                <w:sz w:val="24"/>
                <w:szCs w:val="20"/>
                <w:u w:val="single"/>
                <w:lang w:val="en-US" w:eastAsia="zh-CN" w:bidi="th-TH"/>
              </w:rPr>
              <w:t>100米范围内均无居民点、学校、医院等需要特别保护的敏感目标</w:t>
            </w:r>
            <w:r>
              <w:rPr>
                <w:rFonts w:ascii="Times New Roman" w:hAnsi="Times New Roman" w:cs="Times New Roman"/>
                <w:kern w:val="0"/>
                <w:sz w:val="24"/>
                <w:szCs w:val="20"/>
                <w:u w:val="single"/>
                <w:lang w:bidi="th-TH"/>
              </w:rPr>
              <w:t>。因此，项目昼夜间噪声均可满足《工业企业厂界噪声排放标准》2类</w:t>
            </w:r>
            <w:r>
              <w:rPr>
                <w:rFonts w:hint="eastAsia" w:cs="Times New Roman"/>
                <w:kern w:val="0"/>
                <w:sz w:val="24"/>
                <w:szCs w:val="20"/>
                <w:u w:val="single"/>
                <w:lang w:eastAsia="zh-CN" w:bidi="th-TH"/>
              </w:rPr>
              <w:t>及</w:t>
            </w:r>
            <w:r>
              <w:rPr>
                <w:rFonts w:hint="eastAsia" w:cs="Times New Roman"/>
                <w:kern w:val="0"/>
                <w:sz w:val="24"/>
                <w:szCs w:val="20"/>
                <w:u w:val="single"/>
                <w:lang w:val="en-US" w:eastAsia="zh-CN" w:bidi="th-TH"/>
              </w:rPr>
              <w:t>4类</w:t>
            </w:r>
            <w:r>
              <w:rPr>
                <w:rFonts w:ascii="Times New Roman" w:hAnsi="Times New Roman" w:cs="Times New Roman"/>
                <w:kern w:val="0"/>
                <w:sz w:val="24"/>
                <w:szCs w:val="20"/>
                <w:u w:val="single"/>
                <w:lang w:bidi="th-TH"/>
              </w:rPr>
              <w:t>标准要求。同时建设单位选用低噪声设备，并采取减震隔音措施。因此，厂区内最大噪声源对</w:t>
            </w:r>
            <w:r>
              <w:rPr>
                <w:rFonts w:hint="default" w:ascii="Times New Roman" w:hAnsi="Times New Roman" w:cs="Times New Roman"/>
                <w:kern w:val="0"/>
                <w:sz w:val="24"/>
                <w:szCs w:val="20"/>
                <w:u w:val="single"/>
                <w:lang w:val="en-US" w:eastAsia="zh-CN" w:bidi="th-TH"/>
              </w:rPr>
              <w:t>居民</w:t>
            </w:r>
            <w:r>
              <w:rPr>
                <w:rFonts w:ascii="Times New Roman" w:hAnsi="Times New Roman" w:cs="Times New Roman"/>
                <w:kern w:val="0"/>
                <w:sz w:val="24"/>
                <w:szCs w:val="20"/>
                <w:u w:val="single"/>
                <w:lang w:bidi="th-TH"/>
              </w:rPr>
              <w:t>日常生活影响较小</w:t>
            </w:r>
            <w:r>
              <w:rPr>
                <w:rFonts w:hint="default" w:ascii="Times New Roman" w:hAnsi="Times New Roman" w:cs="Times New Roman"/>
                <w:kern w:val="0"/>
                <w:sz w:val="24"/>
                <w:szCs w:val="20"/>
                <w:u w:val="single"/>
                <w:lang w:eastAsia="zh-CN" w:bidi="th-TH"/>
              </w:rPr>
              <w:t>。</w:t>
            </w:r>
          </w:p>
          <w:p>
            <w:pPr>
              <w:spacing w:line="360" w:lineRule="auto"/>
              <w:ind w:firstLine="480" w:firstLineChars="200"/>
              <w:rPr>
                <w:rFonts w:ascii="Times New Roman" w:hAnsi="Times New Roman" w:cs="Times New Roman"/>
                <w:kern w:val="0"/>
                <w:sz w:val="24"/>
                <w:szCs w:val="20"/>
                <w:u w:val="single"/>
                <w:lang w:bidi="th-TH"/>
              </w:rPr>
            </w:pPr>
            <w:r>
              <w:rPr>
                <w:rFonts w:ascii="Times New Roman" w:hAnsi="Times New Roman" w:cs="Times New Roman"/>
                <w:kern w:val="0"/>
                <w:sz w:val="24"/>
                <w:szCs w:val="20"/>
                <w:u w:val="single"/>
                <w:lang w:bidi="th-TH"/>
              </w:rPr>
              <w:t>（</w:t>
            </w:r>
            <w:r>
              <w:rPr>
                <w:rFonts w:hint="eastAsia" w:cs="Times New Roman"/>
                <w:kern w:val="0"/>
                <w:sz w:val="24"/>
                <w:szCs w:val="20"/>
                <w:u w:val="single"/>
                <w:lang w:val="en-US" w:eastAsia="zh-CN" w:bidi="th-TH"/>
              </w:rPr>
              <w:t>3</w:t>
            </w:r>
            <w:r>
              <w:rPr>
                <w:rFonts w:ascii="Times New Roman" w:hAnsi="Times New Roman" w:cs="Times New Roman"/>
                <w:kern w:val="0"/>
                <w:sz w:val="24"/>
                <w:szCs w:val="20"/>
                <w:u w:val="single"/>
                <w:lang w:bidi="th-TH"/>
              </w:rPr>
              <w:t>）进出车辆噪声</w:t>
            </w:r>
          </w:p>
          <w:p>
            <w:pPr>
              <w:spacing w:line="360" w:lineRule="auto"/>
              <w:ind w:firstLine="480" w:firstLineChars="200"/>
              <w:rPr>
                <w:rFonts w:ascii="Times New Roman" w:hAnsi="Times New Roman" w:cs="Times New Roman"/>
                <w:kern w:val="0"/>
                <w:sz w:val="24"/>
                <w:szCs w:val="20"/>
                <w:u w:val="single"/>
                <w:lang w:bidi="th-TH"/>
              </w:rPr>
            </w:pPr>
            <w:r>
              <w:rPr>
                <w:rFonts w:ascii="Times New Roman" w:hAnsi="Times New Roman" w:cs="Times New Roman"/>
                <w:kern w:val="0"/>
                <w:sz w:val="24"/>
                <w:szCs w:val="20"/>
                <w:u w:val="single"/>
                <w:lang w:bidi="th-TH"/>
              </w:rPr>
              <w:t>本项目进出车流量较小，进出车辆噪声影响主要以进出</w:t>
            </w:r>
            <w:r>
              <w:rPr>
                <w:rFonts w:hint="default" w:ascii="Times New Roman" w:hAnsi="Times New Roman" w:cs="Times New Roman"/>
                <w:kern w:val="0"/>
                <w:sz w:val="24"/>
                <w:szCs w:val="20"/>
                <w:u w:val="single"/>
                <w:lang w:val="en-US" w:eastAsia="zh-CN" w:bidi="th-TH"/>
              </w:rPr>
              <w:t>厂区</w:t>
            </w:r>
            <w:r>
              <w:rPr>
                <w:rFonts w:ascii="Times New Roman" w:hAnsi="Times New Roman" w:cs="Times New Roman"/>
                <w:kern w:val="0"/>
                <w:sz w:val="24"/>
                <w:szCs w:val="20"/>
                <w:u w:val="single"/>
                <w:lang w:bidi="th-TH"/>
              </w:rPr>
              <w:t>时产生的噪声为主，其源强一般在60～75dB(A)，运营期应加强停车场进出汽车的管理，对于进出项目区域的车辆，应严格规定其不得鸣笛、限制其行驶速度并按规定停放车辆，以减小汽车噪声对周围环境噪声的影响。</w:t>
            </w:r>
          </w:p>
          <w:p>
            <w:pPr>
              <w:ind w:firstLine="480"/>
              <w:jc w:val="both"/>
              <w:rPr>
                <w:rFonts w:cs="Times New Roman"/>
                <w:u w:val="single"/>
              </w:rPr>
            </w:pPr>
            <w:r>
              <w:rPr>
                <w:rFonts w:ascii="Times New Roman" w:hAnsi="Times New Roman" w:cs="Times New Roman"/>
                <w:kern w:val="0"/>
                <w:sz w:val="24"/>
                <w:szCs w:val="20"/>
                <w:u w:val="single"/>
                <w:lang w:bidi="th-TH"/>
              </w:rPr>
              <w:t>在做好以上工作的基础上，本项目的营运期对项目所处区域声环境质量的影响较小。</w:t>
            </w:r>
          </w:p>
          <w:p>
            <w:pPr>
              <w:pStyle w:val="9"/>
              <w:spacing w:before="192" w:after="192"/>
              <w:rPr>
                <w:rFonts w:cs="Times New Roman"/>
                <w:u w:val="single"/>
              </w:rPr>
            </w:pPr>
            <w:r>
              <w:rPr>
                <w:rFonts w:hint="eastAsia"/>
                <w:u w:val="single"/>
                <w:lang w:val="en-US"/>
              </w:rPr>
              <w:t>4.</w:t>
            </w:r>
            <w:r>
              <w:rPr>
                <w:rFonts w:hint="eastAsia"/>
                <w:u w:val="single"/>
                <w:lang w:val="en-US" w:eastAsia="zh-CN"/>
              </w:rPr>
              <w:t>2.3.2</w:t>
            </w:r>
            <w:r>
              <w:rPr>
                <w:u w:val="single"/>
              </w:rPr>
              <w:t>噪声污染治理措施</w:t>
            </w:r>
          </w:p>
          <w:p>
            <w:pPr>
              <w:ind w:firstLine="480"/>
              <w:jc w:val="both"/>
              <w:rPr>
                <w:rFonts w:cs="Times New Roman"/>
                <w:u w:val="single"/>
              </w:rPr>
            </w:pPr>
            <w:r>
              <w:rPr>
                <w:rFonts w:cs="Times New Roman"/>
                <w:u w:val="single"/>
              </w:rPr>
              <w:t>为了降低该项目噪声对环境的影响，评价要求企业必须采取如下降噪措施：</w:t>
            </w:r>
          </w:p>
          <w:p>
            <w:pPr>
              <w:ind w:firstLine="480"/>
              <w:jc w:val="both"/>
              <w:rPr>
                <w:rFonts w:cs="Times New Roman"/>
                <w:u w:val="single"/>
              </w:rPr>
            </w:pPr>
            <w:r>
              <w:rPr>
                <w:rFonts w:cs="Times New Roman"/>
                <w:u w:val="single"/>
              </w:rPr>
              <w:t>①从声源上控制，尽量选择低噪声和符合国家噪声标准的设备。</w:t>
            </w:r>
          </w:p>
          <w:p>
            <w:pPr>
              <w:ind w:firstLine="480"/>
              <w:jc w:val="both"/>
              <w:rPr>
                <w:rFonts w:cs="Times New Roman"/>
                <w:u w:val="single"/>
              </w:rPr>
            </w:pPr>
            <w:r>
              <w:rPr>
                <w:rFonts w:cs="Times New Roman"/>
                <w:u w:val="single"/>
              </w:rPr>
              <w:t>②采用隔声降噪、局部吸声技术。</w:t>
            </w:r>
          </w:p>
          <w:p>
            <w:pPr>
              <w:ind w:firstLine="480"/>
              <w:jc w:val="both"/>
              <w:rPr>
                <w:rFonts w:cs="Times New Roman"/>
                <w:u w:val="single"/>
              </w:rPr>
            </w:pPr>
            <w:r>
              <w:rPr>
                <w:rFonts w:cs="Times New Roman"/>
                <w:u w:val="single"/>
              </w:rPr>
              <w:t>③合理布置设备位置，将高噪音设备尽量布置在生产车间中央。</w:t>
            </w:r>
          </w:p>
          <w:p>
            <w:pPr>
              <w:ind w:firstLine="480"/>
              <w:jc w:val="both"/>
              <w:rPr>
                <w:rFonts w:cs="Times New Roman"/>
                <w:u w:val="single"/>
              </w:rPr>
            </w:pPr>
            <w:r>
              <w:rPr>
                <w:rFonts w:cs="Times New Roman"/>
                <w:u w:val="single"/>
              </w:rPr>
              <w:t>④该项目投入使用后建设单位应加强设备日常检修和维护，以保证各设备正常运转，以免由于设备故障原因产生较大噪声；</w:t>
            </w:r>
          </w:p>
          <w:p>
            <w:pPr>
              <w:ind w:firstLine="480"/>
              <w:jc w:val="both"/>
              <w:rPr>
                <w:rFonts w:cs="Times New Roman"/>
                <w:u w:val="single"/>
              </w:rPr>
            </w:pPr>
            <w:r>
              <w:rPr>
                <w:rFonts w:cs="Times New Roman"/>
                <w:u w:val="single"/>
              </w:rPr>
              <w:t>⑤加强生产管理，教育员工文明生产，减少人为因素造成的噪声。</w:t>
            </w:r>
          </w:p>
          <w:p>
            <w:pPr>
              <w:pStyle w:val="9"/>
              <w:spacing w:before="192" w:after="192"/>
              <w:rPr>
                <w:u w:val="single"/>
              </w:rPr>
            </w:pPr>
            <w:r>
              <w:rPr>
                <w:rFonts w:hint="eastAsia"/>
                <w:u w:val="single"/>
                <w:lang w:val="en-US"/>
              </w:rPr>
              <w:t>4.</w:t>
            </w:r>
            <w:r>
              <w:rPr>
                <w:rFonts w:hint="eastAsia"/>
                <w:u w:val="single"/>
                <w:lang w:val="en-US" w:eastAsia="zh-CN"/>
              </w:rPr>
              <w:t xml:space="preserve">2.3.3 </w:t>
            </w:r>
            <w:r>
              <w:rPr>
                <w:rFonts w:hint="eastAsia"/>
                <w:u w:val="single"/>
                <w:lang w:val="en-US"/>
              </w:rPr>
              <w:t>自行监测方案</w:t>
            </w:r>
          </w:p>
          <w:p>
            <w:pPr>
              <w:ind w:firstLine="480"/>
              <w:rPr>
                <w:u w:val="single"/>
                <w:lang w:val="en-US"/>
              </w:rPr>
            </w:pPr>
            <w:r>
              <w:rPr>
                <w:rFonts w:hint="eastAsia"/>
                <w:u w:val="single"/>
                <w:lang w:val="en-US"/>
              </w:rPr>
              <w:t>根据《排污单位自行监测技术指南 总则》（HJ819-2017）中的厂界环境噪声监测要求进行自行监测，噪声监测点位、指标及频次见下表</w:t>
            </w:r>
            <w:r>
              <w:rPr>
                <w:rFonts w:hint="eastAsia"/>
                <w:u w:val="single"/>
                <w:lang w:val="en-US" w:eastAsia="zh-CN"/>
              </w:rPr>
              <w:t>4.2-15</w:t>
            </w:r>
            <w:r>
              <w:rPr>
                <w:rFonts w:hint="eastAsia"/>
                <w:u w:val="single"/>
                <w:lang w:val="en-US"/>
              </w:rPr>
              <w:t>。</w:t>
            </w:r>
          </w:p>
          <w:p>
            <w:pPr>
              <w:pStyle w:val="39"/>
              <w:rPr>
                <w:u w:val="single"/>
                <w:lang w:val="en-US"/>
              </w:rPr>
            </w:pPr>
            <w:r>
              <w:rPr>
                <w:rFonts w:hint="eastAsia"/>
                <w:u w:val="single"/>
                <w:lang w:val="en-US"/>
              </w:rPr>
              <w:t>表</w:t>
            </w:r>
            <w:r>
              <w:rPr>
                <w:rFonts w:hint="eastAsia"/>
                <w:u w:val="single"/>
                <w:lang w:val="en-US" w:eastAsia="zh-CN"/>
              </w:rPr>
              <w:t>4.2-15</w:t>
            </w:r>
            <w:r>
              <w:rPr>
                <w:rFonts w:hint="eastAsia"/>
                <w:u w:val="single"/>
                <w:lang w:val="en-US"/>
              </w:rPr>
              <w:t xml:space="preserve">   噪声监测指标及最低监测频次</w:t>
            </w:r>
          </w:p>
          <w:tbl>
            <w:tblPr>
              <w:tblStyle w:val="32"/>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6"/>
              <w:gridCol w:w="2886"/>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886" w:type="dxa"/>
                  <w:vAlign w:val="center"/>
                </w:tcPr>
                <w:p>
                  <w:pPr>
                    <w:pStyle w:val="38"/>
                    <w:rPr>
                      <w:rFonts w:eastAsia="Times New Roman"/>
                      <w:u w:val="single"/>
                      <w:lang w:val="en-US"/>
                    </w:rPr>
                  </w:pPr>
                  <w:r>
                    <w:rPr>
                      <w:rFonts w:hint="eastAsia" w:eastAsia="Times New Roman"/>
                      <w:u w:val="single"/>
                      <w:lang w:val="en-US"/>
                    </w:rPr>
                    <w:t>监测点位</w:t>
                  </w:r>
                </w:p>
              </w:tc>
              <w:tc>
                <w:tcPr>
                  <w:tcW w:w="2886" w:type="dxa"/>
                  <w:vAlign w:val="center"/>
                </w:tcPr>
                <w:p>
                  <w:pPr>
                    <w:pStyle w:val="38"/>
                    <w:rPr>
                      <w:rFonts w:eastAsia="Times New Roman"/>
                      <w:u w:val="single"/>
                      <w:lang w:val="en-US"/>
                    </w:rPr>
                  </w:pPr>
                  <w:r>
                    <w:rPr>
                      <w:rFonts w:hint="eastAsia" w:eastAsia="Times New Roman"/>
                      <w:u w:val="single"/>
                      <w:lang w:val="en-US"/>
                    </w:rPr>
                    <w:t>监测指标</w:t>
                  </w:r>
                </w:p>
              </w:tc>
              <w:tc>
                <w:tcPr>
                  <w:tcW w:w="2886" w:type="dxa"/>
                  <w:vAlign w:val="center"/>
                </w:tcPr>
                <w:p>
                  <w:pPr>
                    <w:pStyle w:val="38"/>
                    <w:rPr>
                      <w:rFonts w:eastAsia="Times New Roman"/>
                      <w:u w:val="single"/>
                      <w:lang w:val="en-US"/>
                    </w:rPr>
                  </w:pPr>
                  <w:r>
                    <w:rPr>
                      <w:rFonts w:hint="eastAsia" w:eastAsia="Times New Roman"/>
                      <w:u w:val="single"/>
                      <w:lang w:val="en-US"/>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886" w:type="dxa"/>
                  <w:vAlign w:val="center"/>
                </w:tcPr>
                <w:p>
                  <w:pPr>
                    <w:pStyle w:val="38"/>
                    <w:rPr>
                      <w:rFonts w:eastAsia="Times New Roman"/>
                      <w:u w:val="single"/>
                      <w:lang w:val="en-US"/>
                    </w:rPr>
                  </w:pPr>
                  <w:r>
                    <w:rPr>
                      <w:rFonts w:hint="eastAsia" w:eastAsia="Times New Roman"/>
                      <w:u w:val="single"/>
                      <w:lang w:val="en-US"/>
                    </w:rPr>
                    <w:t>厂界四周</w:t>
                  </w:r>
                </w:p>
              </w:tc>
              <w:tc>
                <w:tcPr>
                  <w:tcW w:w="2886" w:type="dxa"/>
                  <w:vAlign w:val="center"/>
                </w:tcPr>
                <w:p>
                  <w:pPr>
                    <w:pStyle w:val="38"/>
                    <w:rPr>
                      <w:rFonts w:eastAsia="Times New Roman"/>
                      <w:u w:val="single"/>
                      <w:lang w:val="en-US"/>
                    </w:rPr>
                  </w:pPr>
                  <w:r>
                    <w:rPr>
                      <w:rFonts w:eastAsia="Times New Roman"/>
                      <w:u w:val="single"/>
                    </w:rPr>
                    <w:t>等效连续A声级</w:t>
                  </w:r>
                </w:p>
              </w:tc>
              <w:tc>
                <w:tcPr>
                  <w:tcW w:w="2886" w:type="dxa"/>
                  <w:vAlign w:val="center"/>
                </w:tcPr>
                <w:p>
                  <w:pPr>
                    <w:pStyle w:val="38"/>
                    <w:rPr>
                      <w:rFonts w:eastAsia="Times New Roman"/>
                      <w:u w:val="single"/>
                      <w:lang w:val="en-US"/>
                    </w:rPr>
                  </w:pPr>
                  <w:r>
                    <w:rPr>
                      <w:rFonts w:hint="eastAsia" w:eastAsia="宋体"/>
                      <w:u w:val="single"/>
                      <w:lang w:val="en-US" w:eastAsia="zh-CN"/>
                    </w:rPr>
                    <w:t>1</w:t>
                  </w:r>
                  <w:r>
                    <w:rPr>
                      <w:rFonts w:eastAsia="Times New Roman"/>
                      <w:u w:val="single"/>
                    </w:rPr>
                    <w:t>次/</w:t>
                  </w:r>
                  <w:r>
                    <w:rPr>
                      <w:rFonts w:hint="eastAsia" w:eastAsia="宋体"/>
                      <w:u w:val="single"/>
                      <w:lang w:eastAsia="zh-CN"/>
                    </w:rPr>
                    <w:t>每季度</w:t>
                  </w:r>
                  <w:r>
                    <w:rPr>
                      <w:rFonts w:eastAsia="Times New Roman"/>
                      <w:u w:val="single"/>
                    </w:rPr>
                    <w:t>，每次1天，昼夜各监测1次</w:t>
                  </w:r>
                </w:p>
              </w:tc>
            </w:tr>
          </w:tbl>
          <w:p>
            <w:pPr>
              <w:pStyle w:val="9"/>
              <w:spacing w:before="192" w:after="192"/>
              <w:rPr>
                <w:rFonts w:cs="Times New Roman"/>
                <w:u w:val="single"/>
              </w:rPr>
            </w:pPr>
            <w:r>
              <w:rPr>
                <w:rFonts w:hint="eastAsia" w:cs="Times New Roman"/>
                <w:u w:val="single"/>
                <w:lang w:val="en-US"/>
              </w:rPr>
              <w:t>4.</w:t>
            </w:r>
            <w:r>
              <w:rPr>
                <w:rFonts w:hint="eastAsia" w:cs="Times New Roman"/>
                <w:u w:val="single"/>
                <w:lang w:val="en-US" w:eastAsia="zh-CN"/>
              </w:rPr>
              <w:t>2.4</w:t>
            </w:r>
            <w:r>
              <w:rPr>
                <w:rFonts w:hint="eastAsia" w:cs="Times New Roman"/>
                <w:u w:val="single"/>
                <w:lang w:val="en-US"/>
              </w:rPr>
              <w:t xml:space="preserve"> </w:t>
            </w:r>
            <w:r>
              <w:rPr>
                <w:rFonts w:cs="Times New Roman"/>
                <w:u w:val="single"/>
              </w:rPr>
              <w:t>固体废物对环境的影响分析</w:t>
            </w:r>
          </w:p>
          <w:p>
            <w:pPr>
              <w:ind w:firstLine="480"/>
              <w:jc w:val="both"/>
              <w:rPr>
                <w:rFonts w:hint="eastAsia" w:cs="Times New Roman"/>
                <w:sz w:val="24"/>
                <w:u w:val="single"/>
                <w:lang w:eastAsia="zh-CN"/>
              </w:rPr>
            </w:pPr>
            <w:r>
              <w:rPr>
                <w:rFonts w:hint="default" w:ascii="Times New Roman" w:hAnsi="Times New Roman" w:cs="Times New Roman"/>
                <w:sz w:val="24"/>
                <w:u w:val="single"/>
              </w:rPr>
              <w:t>本项目运营期的固体废弃物主要为员工生活垃圾废弃物</w:t>
            </w:r>
            <w:r>
              <w:rPr>
                <w:rFonts w:hint="eastAsia" w:cs="Times New Roman"/>
                <w:sz w:val="24"/>
                <w:u w:val="single"/>
                <w:lang w:eastAsia="zh-CN"/>
              </w:rPr>
              <w:t>及维修车间产生的维修固废。</w:t>
            </w:r>
          </w:p>
          <w:p>
            <w:pPr>
              <w:ind w:firstLine="480"/>
              <w:jc w:val="both"/>
              <w:rPr>
                <w:rFonts w:hint="default" w:ascii="Times New Roman" w:hAnsi="Times New Roman" w:cs="Times New Roman"/>
                <w:sz w:val="24"/>
                <w:szCs w:val="22"/>
                <w:u w:val="single"/>
              </w:rPr>
            </w:pPr>
            <w:r>
              <w:rPr>
                <w:rFonts w:hint="default" w:ascii="Times New Roman" w:hAnsi="Times New Roman" w:cs="Times New Roman"/>
                <w:sz w:val="24"/>
                <w:u w:val="single"/>
              </w:rPr>
              <w:t>员工办公生活垃圾产生情况按0.5kg/人·d计，</w:t>
            </w:r>
            <w:r>
              <w:rPr>
                <w:rFonts w:hint="default" w:ascii="Times New Roman" w:hAnsi="Times New Roman" w:cs="Times New Roman"/>
                <w:sz w:val="24"/>
                <w:szCs w:val="22"/>
                <w:u w:val="single"/>
                <w:lang w:val="en-US" w:eastAsia="zh-CN"/>
              </w:rPr>
              <w:t>垃圾转运站</w:t>
            </w:r>
            <w:r>
              <w:rPr>
                <w:rFonts w:hint="default" w:ascii="Times New Roman" w:hAnsi="Times New Roman" w:cs="Times New Roman"/>
                <w:sz w:val="24"/>
                <w:szCs w:val="22"/>
                <w:u w:val="single"/>
              </w:rPr>
              <w:t>定员</w:t>
            </w:r>
            <w:r>
              <w:rPr>
                <w:rFonts w:hint="default" w:ascii="Times New Roman" w:hAnsi="Times New Roman" w:cs="Times New Roman"/>
                <w:sz w:val="24"/>
                <w:szCs w:val="22"/>
                <w:u w:val="single"/>
                <w:lang w:val="en-US" w:eastAsia="zh-CN"/>
              </w:rPr>
              <w:t>5</w:t>
            </w:r>
            <w:r>
              <w:rPr>
                <w:rFonts w:hint="default" w:ascii="Times New Roman" w:hAnsi="Times New Roman" w:cs="Times New Roman"/>
                <w:sz w:val="24"/>
                <w:szCs w:val="22"/>
                <w:u w:val="single"/>
              </w:rPr>
              <w:t>人。则员工生活垃圾产生量为</w:t>
            </w:r>
            <w:r>
              <w:rPr>
                <w:rFonts w:hint="default" w:ascii="Times New Roman" w:hAnsi="Times New Roman" w:cs="Times New Roman"/>
                <w:sz w:val="24"/>
                <w:szCs w:val="22"/>
                <w:u w:val="single"/>
                <w:lang w:val="en-US" w:eastAsia="zh-CN"/>
              </w:rPr>
              <w:t>2.5</w:t>
            </w:r>
            <w:r>
              <w:rPr>
                <w:rFonts w:hint="default" w:ascii="Times New Roman" w:hAnsi="Times New Roman" w:cs="Times New Roman"/>
                <w:sz w:val="24"/>
                <w:szCs w:val="22"/>
                <w:u w:val="single"/>
              </w:rPr>
              <w:t>kg/d，生活垃圾产生量为</w:t>
            </w:r>
            <w:r>
              <w:rPr>
                <w:rFonts w:hint="default" w:ascii="Times New Roman" w:hAnsi="Times New Roman" w:cs="Times New Roman"/>
                <w:sz w:val="24"/>
                <w:szCs w:val="22"/>
                <w:u w:val="single"/>
                <w:lang w:val="en-US" w:eastAsia="zh-CN"/>
              </w:rPr>
              <w:t>0.9125</w:t>
            </w:r>
            <w:r>
              <w:rPr>
                <w:rFonts w:hint="default" w:ascii="Times New Roman" w:hAnsi="Times New Roman" w:cs="Times New Roman"/>
                <w:sz w:val="24"/>
                <w:szCs w:val="22"/>
                <w:u w:val="single"/>
              </w:rPr>
              <w:t>t/a。所产生生活垃圾</w:t>
            </w:r>
            <w:r>
              <w:rPr>
                <w:rFonts w:hint="default" w:ascii="Times New Roman" w:hAnsi="Times New Roman" w:cs="Times New Roman"/>
                <w:sz w:val="24"/>
                <w:szCs w:val="22"/>
                <w:u w:val="single"/>
                <w:lang w:val="en-US" w:eastAsia="zh-CN"/>
              </w:rPr>
              <w:t>经收集后与垃圾压缩站一起清运处理</w:t>
            </w:r>
            <w:r>
              <w:rPr>
                <w:rFonts w:hint="default" w:ascii="Times New Roman" w:hAnsi="Times New Roman" w:cs="Times New Roman"/>
                <w:sz w:val="24"/>
                <w:szCs w:val="22"/>
                <w:u w:val="single"/>
              </w:rPr>
              <w:t>。</w:t>
            </w:r>
          </w:p>
          <w:p>
            <w:pPr>
              <w:pStyle w:val="2"/>
              <w:jc w:val="both"/>
              <w:rPr>
                <w:rFonts w:hint="eastAsia" w:eastAsia="宋体"/>
                <w:u w:val="single"/>
                <w:lang w:eastAsia="zh-CN"/>
              </w:rPr>
            </w:pPr>
            <w:r>
              <w:rPr>
                <w:rFonts w:hint="eastAsia"/>
                <w:u w:val="single"/>
                <w:lang w:eastAsia="zh-CN"/>
              </w:rPr>
              <w:t>维修固废包括一般固体废物及危险废物。一般固体废物包括维修产生的废旧金属机械等，危废包括维修过程中产生的含油抹布、废机油等，由于本项目维修车间主要用于日常简单的维修工作，故产生的维修固废较少，产生的废旧金属机械等一般固废交由其他公司回收利用。危险废物暂存于危废暂存间，交由有资质单位处理。</w:t>
            </w:r>
          </w:p>
          <w:p>
            <w:pPr>
              <w:pStyle w:val="8"/>
              <w:ind w:left="0" w:leftChars="0" w:firstLine="0" w:firstLineChars="0"/>
              <w:rPr>
                <w:b/>
                <w:bCs/>
                <w:u w:val="single"/>
              </w:rPr>
            </w:pPr>
            <w:r>
              <w:rPr>
                <w:rFonts w:hint="eastAsia"/>
                <w:b/>
                <w:bCs/>
                <w:u w:val="single"/>
                <w:lang w:val="en-US" w:eastAsia="zh-CN"/>
              </w:rPr>
              <w:t>4.2.5</w:t>
            </w:r>
            <w:r>
              <w:rPr>
                <w:rFonts w:hint="eastAsia"/>
                <w:b/>
                <w:bCs/>
                <w:u w:val="single"/>
                <w:lang w:val="en-US"/>
              </w:rPr>
              <w:t xml:space="preserve"> </w:t>
            </w:r>
            <w:r>
              <w:rPr>
                <w:b/>
                <w:bCs/>
                <w:u w:val="single"/>
                <w:lang w:val="en-US"/>
              </w:rPr>
              <w:t>地下水</w:t>
            </w:r>
            <w:r>
              <w:rPr>
                <w:rFonts w:hint="eastAsia"/>
                <w:b/>
                <w:bCs/>
                <w:u w:val="single"/>
                <w:lang w:val="en-US" w:eastAsia="zh-CN"/>
              </w:rPr>
              <w:t>、</w:t>
            </w:r>
            <w:r>
              <w:rPr>
                <w:b/>
                <w:bCs/>
                <w:u w:val="single"/>
              </w:rPr>
              <w:t>土壤环境影响评价</w:t>
            </w:r>
          </w:p>
          <w:p>
            <w:pPr>
              <w:ind w:firstLine="480"/>
              <w:jc w:val="both"/>
              <w:rPr>
                <w:rFonts w:cs="Times New Roman"/>
                <w:u w:val="single"/>
              </w:rPr>
            </w:pPr>
            <w:r>
              <w:rPr>
                <w:rFonts w:hint="default" w:ascii="Times New Roman" w:hAnsi="Times New Roman" w:cs="Times New Roman"/>
                <w:u w:val="single"/>
              </w:rPr>
              <w:t>根据《建设项目环境影响报告表编制技术指南（污染影响类）》，分析地下水、土壤污染源、污染物类型和污染途径，按照分区防控要求提出相应的防控措施，并根据分析结果提出跟踪监测要求（监测点位、监测因子、监测频次）</w:t>
            </w:r>
            <w:r>
              <w:rPr>
                <w:rFonts w:cs="Times New Roman"/>
                <w:u w:val="single"/>
              </w:rPr>
              <w:t>。</w:t>
            </w:r>
          </w:p>
          <w:p>
            <w:pPr>
              <w:adjustRightInd w:val="0"/>
              <w:snapToGrid w:val="0"/>
              <w:spacing w:line="360" w:lineRule="auto"/>
              <w:ind w:firstLine="480" w:firstLineChars="200"/>
              <w:rPr>
                <w:rFonts w:hint="default" w:ascii="Times New Roman" w:hAnsi="Times New Roman" w:cs="Times New Roman"/>
                <w:sz w:val="24"/>
                <w:u w:val="single"/>
              </w:rPr>
            </w:pPr>
            <w:r>
              <w:rPr>
                <w:rFonts w:hint="eastAsia" w:cs="Times New Roman"/>
                <w:u w:val="single"/>
                <w:lang w:eastAsia="zh-CN"/>
              </w:rPr>
              <w:t>本项目地下水、土壤污染源为冲洗废水及垃圾渗滤液</w:t>
            </w:r>
            <w:r>
              <w:rPr>
                <w:rFonts w:hint="default" w:ascii="Times New Roman" w:hAnsi="Times New Roman" w:cs="Times New Roman"/>
                <w:sz w:val="24"/>
                <w:u w:val="single"/>
              </w:rPr>
              <w:t>，为防止项目营运期</w:t>
            </w:r>
            <w:r>
              <w:rPr>
                <w:rFonts w:hint="eastAsia" w:cs="Times New Roman"/>
                <w:sz w:val="24"/>
                <w:u w:val="single"/>
                <w:lang w:eastAsia="zh-CN"/>
              </w:rPr>
              <w:t>冲洗废水及垃圾渗滤液</w:t>
            </w:r>
            <w:r>
              <w:rPr>
                <w:rFonts w:hint="default" w:ascii="Times New Roman" w:hAnsi="Times New Roman" w:cs="Times New Roman"/>
                <w:sz w:val="24"/>
                <w:u w:val="single"/>
              </w:rPr>
              <w:t>对周边地下水</w:t>
            </w:r>
            <w:r>
              <w:rPr>
                <w:rFonts w:hint="eastAsia" w:cs="Times New Roman"/>
                <w:sz w:val="24"/>
                <w:u w:val="single"/>
                <w:lang w:eastAsia="zh-CN"/>
              </w:rPr>
              <w:t>及土壤</w:t>
            </w:r>
            <w:r>
              <w:rPr>
                <w:rFonts w:hint="default" w:ascii="Times New Roman" w:hAnsi="Times New Roman" w:cs="Times New Roman"/>
                <w:sz w:val="24"/>
                <w:u w:val="single"/>
              </w:rPr>
              <w:t>造成污染，本评价要求建设单位拟采取如下的防治措施：</w:t>
            </w:r>
          </w:p>
          <w:p>
            <w:pPr>
              <w:spacing w:line="360" w:lineRule="auto"/>
              <w:ind w:firstLine="482"/>
              <w:rPr>
                <w:rFonts w:hint="default" w:ascii="Times New Roman" w:hAnsi="Times New Roman" w:cs="Times New Roman"/>
                <w:b/>
                <w:color w:val="000000"/>
                <w:sz w:val="24"/>
                <w:u w:val="single"/>
              </w:rPr>
            </w:pPr>
            <w:r>
              <w:rPr>
                <w:rFonts w:hint="default" w:ascii="Times New Roman" w:hAnsi="Times New Roman" w:cs="Times New Roman"/>
                <w:b/>
                <w:color w:val="000000"/>
                <w:sz w:val="24"/>
                <w:u w:val="single"/>
              </w:rPr>
              <w:t>（1）源头控制措施</w:t>
            </w:r>
          </w:p>
          <w:p>
            <w:pPr>
              <w:spacing w:line="360" w:lineRule="auto"/>
              <w:ind w:firstLine="48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①项目应根据国家现行相关规范加强环境管理，采取防止和降低污染物跑、冒、滴、漏的措施。正常生产过程中应加强巡检及时处理污染物跑、冒、滴、漏，同时应加强对防渗工程的检查，若发现防渗密封材料老化或损坏，应及时维修更换；</w:t>
            </w:r>
          </w:p>
          <w:p>
            <w:pPr>
              <w:spacing w:line="360" w:lineRule="auto"/>
              <w:ind w:firstLine="48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②对工艺、管道、设备、污水处理构筑物采取控制措施，防止污染物的跑、冒、滴、漏，将污染物泄漏的环境风险事故降到最低限度。</w:t>
            </w:r>
          </w:p>
          <w:p>
            <w:pPr>
              <w:spacing w:line="360" w:lineRule="auto"/>
              <w:ind w:firstLine="482"/>
              <w:rPr>
                <w:rFonts w:hint="default" w:ascii="Times New Roman" w:hAnsi="Times New Roman" w:cs="Times New Roman"/>
                <w:b/>
                <w:color w:val="000000"/>
                <w:sz w:val="24"/>
                <w:u w:val="single"/>
              </w:rPr>
            </w:pPr>
            <w:r>
              <w:rPr>
                <w:rFonts w:hint="default" w:ascii="Times New Roman" w:hAnsi="Times New Roman" w:cs="Times New Roman"/>
                <w:b/>
                <w:color w:val="000000"/>
                <w:sz w:val="24"/>
                <w:u w:val="single"/>
              </w:rPr>
              <w:t>（2）分区防治措施</w:t>
            </w:r>
          </w:p>
          <w:p>
            <w:pPr>
              <w:spacing w:line="360" w:lineRule="auto"/>
              <w:ind w:firstLine="48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根据《建设项目环境影响报告表编制技术指南（污染影响类）》</w:t>
            </w:r>
            <w:r>
              <w:rPr>
                <w:rFonts w:hint="eastAsia" w:cs="Times New Roman"/>
                <w:color w:val="000000"/>
                <w:sz w:val="24"/>
                <w:u w:val="single"/>
                <w:lang w:eastAsia="zh-CN"/>
              </w:rPr>
              <w:t>提出的</w:t>
            </w:r>
            <w:r>
              <w:rPr>
                <w:rFonts w:hint="default" w:ascii="Times New Roman" w:hAnsi="Times New Roman" w:cs="Times New Roman"/>
                <w:u w:val="single"/>
              </w:rPr>
              <w:t>分区防控要求</w:t>
            </w:r>
            <w:r>
              <w:rPr>
                <w:rFonts w:hint="default" w:ascii="Times New Roman" w:hAnsi="Times New Roman" w:cs="Times New Roman"/>
                <w:color w:val="000000"/>
                <w:sz w:val="24"/>
                <w:u w:val="single"/>
              </w:rPr>
              <w:t>，本次环评按污染物泄漏的途径和生产功能单元所处的位置划分为重点防渗区、一般防渗区及简单防渗区三类地下水污染防治区域：</w:t>
            </w:r>
          </w:p>
          <w:p>
            <w:pPr>
              <w:spacing w:line="360" w:lineRule="auto"/>
              <w:ind w:firstLine="48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根据</w:t>
            </w:r>
            <w:r>
              <w:rPr>
                <w:rFonts w:hint="eastAsia" w:cs="Times New Roman"/>
                <w:color w:val="000000"/>
                <w:sz w:val="24"/>
                <w:u w:val="single"/>
                <w:lang w:eastAsia="zh-CN"/>
              </w:rPr>
              <w:t>项目实际建设情况，</w:t>
            </w:r>
            <w:r>
              <w:rPr>
                <w:rFonts w:hint="default" w:ascii="Times New Roman" w:hAnsi="Times New Roman" w:cs="Times New Roman"/>
                <w:color w:val="000000"/>
                <w:sz w:val="24"/>
                <w:u w:val="single"/>
              </w:rPr>
              <w:t>污染防渗分区如下表所示：</w:t>
            </w:r>
          </w:p>
          <w:p>
            <w:pPr>
              <w:pStyle w:val="66"/>
              <w:keepNext w:val="0"/>
              <w:keepLines w:val="0"/>
              <w:pageBreakBefore w:val="0"/>
              <w:widowControl w:val="0"/>
              <w:numPr>
                <w:ilvl w:val="0"/>
                <w:numId w:val="0"/>
              </w:numPr>
              <w:kinsoku/>
              <w:wordWrap/>
              <w:overflowPunct/>
              <w:topLinePunct w:val="0"/>
              <w:autoSpaceDE/>
              <w:autoSpaceDN/>
              <w:bidi w:val="0"/>
              <w:adjustRightInd w:val="0"/>
              <w:snapToGrid w:val="0"/>
              <w:ind w:left="0" w:leftChars="0"/>
              <w:jc w:val="center"/>
              <w:textAlignment w:val="auto"/>
              <w:rPr>
                <w:rFonts w:hint="default" w:ascii="Times New Roman" w:hAnsi="Times New Roman" w:cs="Times New Roman"/>
                <w:b/>
                <w:bCs/>
                <w:u w:val="single"/>
              </w:rPr>
            </w:pPr>
            <w:r>
              <w:rPr>
                <w:rFonts w:hint="default" w:ascii="Times New Roman" w:hAnsi="Times New Roman" w:cs="Times New Roman"/>
                <w:b/>
                <w:bCs/>
                <w:u w:val="single"/>
                <w:lang w:val="en-US" w:eastAsia="zh-CN"/>
              </w:rPr>
              <w:t>表</w:t>
            </w:r>
            <w:r>
              <w:rPr>
                <w:rFonts w:hint="eastAsia" w:cs="Times New Roman"/>
                <w:b/>
                <w:bCs/>
                <w:u w:val="single"/>
                <w:lang w:val="en-US" w:eastAsia="zh-CN"/>
              </w:rPr>
              <w:t>4.2-16</w:t>
            </w:r>
            <w:r>
              <w:rPr>
                <w:rFonts w:hint="default" w:ascii="Times New Roman" w:hAnsi="Times New Roman" w:cs="Times New Roman"/>
                <w:b/>
                <w:bCs/>
                <w:u w:val="single"/>
                <w:lang w:val="en-US" w:eastAsia="zh-CN"/>
              </w:rPr>
              <w:t xml:space="preserve"> </w:t>
            </w:r>
            <w:r>
              <w:rPr>
                <w:rFonts w:hint="default" w:ascii="Times New Roman" w:hAnsi="Times New Roman" w:cs="Times New Roman"/>
                <w:b/>
                <w:bCs/>
                <w:u w:val="single"/>
              </w:rPr>
              <w:t>地下水污染防渗分区参照表</w:t>
            </w:r>
          </w:p>
          <w:tbl>
            <w:tblPr>
              <w:tblStyle w:val="31"/>
              <w:tblW w:w="4923"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Layout w:type="fixed"/>
              <w:tblCellMar>
                <w:top w:w="0" w:type="dxa"/>
                <w:left w:w="108" w:type="dxa"/>
                <w:bottom w:w="0" w:type="dxa"/>
                <w:right w:w="108" w:type="dxa"/>
              </w:tblCellMar>
            </w:tblPr>
            <w:tblGrid>
              <w:gridCol w:w="1292"/>
              <w:gridCol w:w="1292"/>
              <w:gridCol w:w="1293"/>
              <w:gridCol w:w="1333"/>
              <w:gridCol w:w="1994"/>
              <w:gridCol w:w="129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457" w:hRule="atLeast"/>
                <w:jc w:val="center"/>
              </w:trPr>
              <w:tc>
                <w:tcPr>
                  <w:tcW w:w="760" w:type="pct"/>
                  <w:tcBorders>
                    <w:tl2br w:val="nil"/>
                    <w:tr2bl w:val="nil"/>
                  </w:tcBorders>
                  <w:noWrap w:val="0"/>
                  <w:vAlign w:val="center"/>
                </w:tcPr>
                <w:p>
                  <w:pPr>
                    <w:pStyle w:val="38"/>
                    <w:bidi w:val="0"/>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防渗分区</w:t>
                  </w:r>
                </w:p>
              </w:tc>
              <w:tc>
                <w:tcPr>
                  <w:tcW w:w="760" w:type="pct"/>
                  <w:tcBorders>
                    <w:tl2br w:val="nil"/>
                    <w:tr2bl w:val="nil"/>
                  </w:tcBorders>
                  <w:noWrap w:val="0"/>
                  <w:vAlign w:val="center"/>
                </w:tcPr>
                <w:p>
                  <w:pPr>
                    <w:pStyle w:val="38"/>
                    <w:bidi w:val="0"/>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天然包气带防污性能</w:t>
                  </w:r>
                </w:p>
              </w:tc>
              <w:tc>
                <w:tcPr>
                  <w:tcW w:w="760" w:type="pct"/>
                  <w:tcBorders>
                    <w:tl2br w:val="nil"/>
                    <w:tr2bl w:val="nil"/>
                  </w:tcBorders>
                  <w:noWrap w:val="0"/>
                  <w:vAlign w:val="center"/>
                </w:tcPr>
                <w:p>
                  <w:pPr>
                    <w:pStyle w:val="38"/>
                    <w:bidi w:val="0"/>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污染控制难易程度</w:t>
                  </w:r>
                </w:p>
              </w:tc>
              <w:tc>
                <w:tcPr>
                  <w:tcW w:w="784" w:type="pct"/>
                  <w:tcBorders>
                    <w:tl2br w:val="nil"/>
                    <w:tr2bl w:val="nil"/>
                  </w:tcBorders>
                  <w:noWrap w:val="0"/>
                  <w:vAlign w:val="center"/>
                </w:tcPr>
                <w:p>
                  <w:pPr>
                    <w:pStyle w:val="38"/>
                    <w:bidi w:val="0"/>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污染物类型</w:t>
                  </w:r>
                </w:p>
              </w:tc>
              <w:tc>
                <w:tcPr>
                  <w:tcW w:w="1173" w:type="pct"/>
                  <w:tcBorders>
                    <w:tl2br w:val="nil"/>
                    <w:tr2bl w:val="nil"/>
                  </w:tcBorders>
                  <w:noWrap w:val="0"/>
                  <w:vAlign w:val="center"/>
                </w:tcPr>
                <w:p>
                  <w:pPr>
                    <w:pStyle w:val="38"/>
                    <w:bidi w:val="0"/>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防渗技术要求</w:t>
                  </w:r>
                </w:p>
              </w:tc>
              <w:tc>
                <w:tcPr>
                  <w:tcW w:w="760" w:type="pct"/>
                  <w:tcBorders>
                    <w:tl2br w:val="nil"/>
                    <w:tr2bl w:val="nil"/>
                  </w:tcBorders>
                  <w:noWrap w:val="0"/>
                  <w:vAlign w:val="center"/>
                </w:tcPr>
                <w:p>
                  <w:pPr>
                    <w:pStyle w:val="38"/>
                    <w:bidi w:val="0"/>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本项目防渗区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334" w:hRule="atLeast"/>
                <w:jc w:val="center"/>
              </w:trPr>
              <w:tc>
                <w:tcPr>
                  <w:tcW w:w="760" w:type="pct"/>
                  <w:vMerge w:val="restart"/>
                  <w:tcBorders>
                    <w:tl2br w:val="nil"/>
                    <w:tr2bl w:val="nil"/>
                  </w:tcBorders>
                  <w:noWrap w:val="0"/>
                  <w:vAlign w:val="center"/>
                </w:tcPr>
                <w:p>
                  <w:pPr>
                    <w:pStyle w:val="38"/>
                    <w:bidi w:val="0"/>
                    <w:rPr>
                      <w:rFonts w:hint="default" w:ascii="Times New Roman" w:hAnsi="Times New Roman" w:cs="Times New Roman"/>
                      <w:sz w:val="21"/>
                      <w:szCs w:val="21"/>
                      <w:u w:val="single"/>
                    </w:rPr>
                  </w:pPr>
                  <w:r>
                    <w:rPr>
                      <w:rFonts w:hint="default" w:ascii="Times New Roman" w:hAnsi="Times New Roman" w:cs="Times New Roman"/>
                      <w:sz w:val="21"/>
                      <w:szCs w:val="21"/>
                      <w:u w:val="single"/>
                    </w:rPr>
                    <w:t>重点防渗区</w:t>
                  </w:r>
                </w:p>
              </w:tc>
              <w:tc>
                <w:tcPr>
                  <w:tcW w:w="760" w:type="pct"/>
                  <w:tcBorders>
                    <w:tl2br w:val="nil"/>
                    <w:tr2bl w:val="nil"/>
                  </w:tcBorders>
                  <w:noWrap w:val="0"/>
                  <w:vAlign w:val="center"/>
                </w:tcPr>
                <w:p>
                  <w:pPr>
                    <w:pStyle w:val="38"/>
                    <w:bidi w:val="0"/>
                    <w:rPr>
                      <w:rFonts w:hint="default" w:ascii="Times New Roman" w:hAnsi="Times New Roman" w:cs="Times New Roman"/>
                      <w:sz w:val="21"/>
                      <w:szCs w:val="21"/>
                      <w:u w:val="single"/>
                    </w:rPr>
                  </w:pPr>
                  <w:r>
                    <w:rPr>
                      <w:rFonts w:hint="default" w:ascii="Times New Roman" w:hAnsi="Times New Roman" w:cs="Times New Roman"/>
                      <w:sz w:val="21"/>
                      <w:szCs w:val="21"/>
                      <w:u w:val="single"/>
                    </w:rPr>
                    <w:t>弱</w:t>
                  </w:r>
                </w:p>
              </w:tc>
              <w:tc>
                <w:tcPr>
                  <w:tcW w:w="760" w:type="pct"/>
                  <w:tcBorders>
                    <w:tl2br w:val="nil"/>
                    <w:tr2bl w:val="nil"/>
                  </w:tcBorders>
                  <w:noWrap w:val="0"/>
                  <w:vAlign w:val="center"/>
                </w:tcPr>
                <w:p>
                  <w:pPr>
                    <w:pStyle w:val="38"/>
                    <w:bidi w:val="0"/>
                    <w:rPr>
                      <w:rFonts w:hint="default" w:ascii="Times New Roman" w:hAnsi="Times New Roman" w:cs="Times New Roman"/>
                      <w:sz w:val="21"/>
                      <w:szCs w:val="21"/>
                      <w:u w:val="single"/>
                    </w:rPr>
                  </w:pPr>
                  <w:r>
                    <w:rPr>
                      <w:rFonts w:hint="default" w:ascii="Times New Roman" w:hAnsi="Times New Roman" w:cs="Times New Roman"/>
                      <w:sz w:val="21"/>
                      <w:szCs w:val="21"/>
                      <w:u w:val="single"/>
                    </w:rPr>
                    <w:t>难</w:t>
                  </w:r>
                </w:p>
              </w:tc>
              <w:tc>
                <w:tcPr>
                  <w:tcW w:w="784" w:type="pct"/>
                  <w:vMerge w:val="restart"/>
                  <w:tcBorders>
                    <w:tl2br w:val="nil"/>
                    <w:tr2bl w:val="nil"/>
                  </w:tcBorders>
                  <w:noWrap w:val="0"/>
                  <w:vAlign w:val="center"/>
                </w:tcPr>
                <w:p>
                  <w:pPr>
                    <w:pStyle w:val="38"/>
                    <w:bidi w:val="0"/>
                    <w:rPr>
                      <w:rFonts w:hint="default" w:ascii="Times New Roman" w:hAnsi="Times New Roman" w:cs="Times New Roman"/>
                      <w:sz w:val="21"/>
                      <w:szCs w:val="21"/>
                      <w:u w:val="single"/>
                    </w:rPr>
                  </w:pPr>
                  <w:r>
                    <w:rPr>
                      <w:rFonts w:hint="default" w:ascii="Times New Roman" w:hAnsi="Times New Roman" w:cs="Times New Roman"/>
                      <w:sz w:val="21"/>
                      <w:szCs w:val="21"/>
                      <w:u w:val="single"/>
                    </w:rPr>
                    <w:t>重金属、持久性有机物污染物</w:t>
                  </w:r>
                </w:p>
              </w:tc>
              <w:tc>
                <w:tcPr>
                  <w:tcW w:w="1173" w:type="pct"/>
                  <w:vMerge w:val="restart"/>
                  <w:tcBorders>
                    <w:tl2br w:val="nil"/>
                    <w:tr2bl w:val="nil"/>
                  </w:tcBorders>
                  <w:noWrap w:val="0"/>
                  <w:vAlign w:val="center"/>
                </w:tcPr>
                <w:p>
                  <w:pPr>
                    <w:pStyle w:val="38"/>
                    <w:bidi w:val="0"/>
                    <w:rPr>
                      <w:rFonts w:hint="default" w:ascii="Times New Roman" w:hAnsi="Times New Roman" w:cs="Times New Roman"/>
                      <w:sz w:val="21"/>
                      <w:szCs w:val="21"/>
                      <w:u w:val="single"/>
                    </w:rPr>
                  </w:pPr>
                  <w:r>
                    <w:rPr>
                      <w:rFonts w:hint="default" w:ascii="Times New Roman" w:hAnsi="Times New Roman" w:cs="Times New Roman"/>
                      <w:sz w:val="21"/>
                      <w:szCs w:val="21"/>
                      <w:u w:val="single"/>
                    </w:rPr>
                    <w:t>等效黏土防渗层Mb≥6.0m，k≤1×10</w:t>
                  </w:r>
                  <w:r>
                    <w:rPr>
                      <w:rFonts w:hint="default" w:ascii="Times New Roman" w:hAnsi="Times New Roman" w:cs="Times New Roman"/>
                      <w:sz w:val="21"/>
                      <w:szCs w:val="21"/>
                      <w:u w:val="single"/>
                      <w:vertAlign w:val="superscript"/>
                    </w:rPr>
                    <w:t>-7</w:t>
                  </w:r>
                  <w:r>
                    <w:rPr>
                      <w:rFonts w:hint="default" w:ascii="Times New Roman" w:hAnsi="Times New Roman" w:cs="Times New Roman"/>
                      <w:sz w:val="21"/>
                      <w:szCs w:val="21"/>
                      <w:u w:val="single"/>
                    </w:rPr>
                    <w:t>cm/s；或参照GB18598执行</w:t>
                  </w:r>
                </w:p>
              </w:tc>
              <w:tc>
                <w:tcPr>
                  <w:tcW w:w="760" w:type="pct"/>
                  <w:vMerge w:val="restart"/>
                  <w:tcBorders>
                    <w:tl2br w:val="nil"/>
                    <w:tr2bl w:val="nil"/>
                  </w:tcBorders>
                  <w:noWrap w:val="0"/>
                  <w:vAlign w:val="center"/>
                </w:tcPr>
                <w:p>
                  <w:pPr>
                    <w:pStyle w:val="38"/>
                    <w:bidi w:val="0"/>
                    <w:rPr>
                      <w:rFonts w:hint="default" w:ascii="Times New Roman" w:hAnsi="Times New Roman" w:eastAsia="宋体" w:cs="Times New Roman"/>
                      <w:sz w:val="21"/>
                      <w:szCs w:val="21"/>
                      <w:u w:val="single"/>
                      <w:lang w:val="en-US" w:eastAsia="zh-CN"/>
                    </w:rPr>
                  </w:pPr>
                  <w:r>
                    <w:rPr>
                      <w:rFonts w:hint="eastAsia" w:cs="Times New Roman"/>
                      <w:sz w:val="21"/>
                      <w:szCs w:val="21"/>
                      <w:u w:val="single"/>
                      <w:lang w:eastAsia="zh-CN"/>
                    </w:rPr>
                    <w:t>卸料大厅、压装车间、转运坪、自动洗车间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334" w:hRule="atLeast"/>
                <w:jc w:val="center"/>
              </w:trPr>
              <w:tc>
                <w:tcPr>
                  <w:tcW w:w="760" w:type="pct"/>
                  <w:vMerge w:val="continue"/>
                  <w:tcBorders>
                    <w:tl2br w:val="nil"/>
                    <w:tr2bl w:val="nil"/>
                  </w:tcBorders>
                  <w:noWrap w:val="0"/>
                  <w:vAlign w:val="center"/>
                </w:tcPr>
                <w:p>
                  <w:pPr>
                    <w:pStyle w:val="38"/>
                    <w:bidi w:val="0"/>
                    <w:rPr>
                      <w:rFonts w:hint="default" w:ascii="Times New Roman" w:hAnsi="Times New Roman" w:cs="Times New Roman"/>
                      <w:sz w:val="21"/>
                      <w:szCs w:val="21"/>
                      <w:u w:val="single"/>
                    </w:rPr>
                  </w:pPr>
                </w:p>
              </w:tc>
              <w:tc>
                <w:tcPr>
                  <w:tcW w:w="760" w:type="pct"/>
                  <w:tcBorders>
                    <w:tl2br w:val="nil"/>
                    <w:tr2bl w:val="nil"/>
                  </w:tcBorders>
                  <w:noWrap w:val="0"/>
                  <w:vAlign w:val="center"/>
                </w:tcPr>
                <w:p>
                  <w:pPr>
                    <w:pStyle w:val="38"/>
                    <w:bidi w:val="0"/>
                    <w:rPr>
                      <w:rFonts w:hint="default" w:ascii="Times New Roman" w:hAnsi="Times New Roman" w:cs="Times New Roman"/>
                      <w:sz w:val="21"/>
                      <w:szCs w:val="21"/>
                      <w:u w:val="single"/>
                    </w:rPr>
                  </w:pPr>
                  <w:r>
                    <w:rPr>
                      <w:rFonts w:hint="default" w:ascii="Times New Roman" w:hAnsi="Times New Roman" w:cs="Times New Roman"/>
                      <w:sz w:val="21"/>
                      <w:szCs w:val="21"/>
                      <w:u w:val="single"/>
                    </w:rPr>
                    <w:t>中-强</w:t>
                  </w:r>
                </w:p>
              </w:tc>
              <w:tc>
                <w:tcPr>
                  <w:tcW w:w="760" w:type="pct"/>
                  <w:tcBorders>
                    <w:tl2br w:val="nil"/>
                    <w:tr2bl w:val="nil"/>
                  </w:tcBorders>
                  <w:noWrap w:val="0"/>
                  <w:vAlign w:val="center"/>
                </w:tcPr>
                <w:p>
                  <w:pPr>
                    <w:pStyle w:val="38"/>
                    <w:bidi w:val="0"/>
                    <w:rPr>
                      <w:rFonts w:hint="default" w:ascii="Times New Roman" w:hAnsi="Times New Roman" w:cs="Times New Roman"/>
                      <w:sz w:val="21"/>
                      <w:szCs w:val="21"/>
                      <w:u w:val="single"/>
                    </w:rPr>
                  </w:pPr>
                  <w:r>
                    <w:rPr>
                      <w:rFonts w:hint="default" w:ascii="Times New Roman" w:hAnsi="Times New Roman" w:cs="Times New Roman"/>
                      <w:sz w:val="21"/>
                      <w:szCs w:val="21"/>
                      <w:u w:val="single"/>
                    </w:rPr>
                    <w:t>难</w:t>
                  </w:r>
                </w:p>
              </w:tc>
              <w:tc>
                <w:tcPr>
                  <w:tcW w:w="784" w:type="pct"/>
                  <w:vMerge w:val="continue"/>
                  <w:tcBorders>
                    <w:tl2br w:val="nil"/>
                    <w:tr2bl w:val="nil"/>
                  </w:tcBorders>
                  <w:noWrap w:val="0"/>
                  <w:vAlign w:val="center"/>
                </w:tcPr>
                <w:p>
                  <w:pPr>
                    <w:pStyle w:val="38"/>
                    <w:bidi w:val="0"/>
                    <w:rPr>
                      <w:rFonts w:hint="default" w:ascii="Times New Roman" w:hAnsi="Times New Roman" w:cs="Times New Roman"/>
                      <w:sz w:val="21"/>
                      <w:szCs w:val="21"/>
                      <w:u w:val="single"/>
                    </w:rPr>
                  </w:pPr>
                </w:p>
              </w:tc>
              <w:tc>
                <w:tcPr>
                  <w:tcW w:w="1173" w:type="pct"/>
                  <w:vMerge w:val="continue"/>
                  <w:tcBorders>
                    <w:tl2br w:val="nil"/>
                    <w:tr2bl w:val="nil"/>
                  </w:tcBorders>
                  <w:noWrap w:val="0"/>
                  <w:vAlign w:val="center"/>
                </w:tcPr>
                <w:p>
                  <w:pPr>
                    <w:pStyle w:val="38"/>
                    <w:bidi w:val="0"/>
                    <w:rPr>
                      <w:rFonts w:hint="default" w:ascii="Times New Roman" w:hAnsi="Times New Roman" w:cs="Times New Roman"/>
                      <w:sz w:val="21"/>
                      <w:szCs w:val="21"/>
                      <w:u w:val="single"/>
                    </w:rPr>
                  </w:pPr>
                </w:p>
              </w:tc>
              <w:tc>
                <w:tcPr>
                  <w:tcW w:w="760" w:type="pct"/>
                  <w:vMerge w:val="continue"/>
                  <w:tcBorders>
                    <w:tl2br w:val="nil"/>
                    <w:tr2bl w:val="nil"/>
                  </w:tcBorders>
                  <w:noWrap w:val="0"/>
                  <w:vAlign w:val="center"/>
                </w:tcPr>
                <w:p>
                  <w:pPr>
                    <w:pStyle w:val="38"/>
                    <w:bidi w:val="0"/>
                    <w:rPr>
                      <w:rFonts w:hint="default" w:ascii="Times New Roman" w:hAnsi="Times New Roman" w:cs="Times New Roman"/>
                      <w:sz w:val="21"/>
                      <w:szCs w:val="21"/>
                      <w:u w:val="singl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334" w:hRule="atLeast"/>
                <w:jc w:val="center"/>
              </w:trPr>
              <w:tc>
                <w:tcPr>
                  <w:tcW w:w="760" w:type="pct"/>
                  <w:vMerge w:val="continue"/>
                  <w:tcBorders>
                    <w:tl2br w:val="nil"/>
                    <w:tr2bl w:val="nil"/>
                  </w:tcBorders>
                  <w:noWrap w:val="0"/>
                  <w:vAlign w:val="center"/>
                </w:tcPr>
                <w:p>
                  <w:pPr>
                    <w:pStyle w:val="38"/>
                    <w:bidi w:val="0"/>
                    <w:rPr>
                      <w:rFonts w:hint="default" w:ascii="Times New Roman" w:hAnsi="Times New Roman" w:cs="Times New Roman"/>
                      <w:sz w:val="21"/>
                      <w:szCs w:val="21"/>
                      <w:u w:val="single"/>
                    </w:rPr>
                  </w:pPr>
                </w:p>
              </w:tc>
              <w:tc>
                <w:tcPr>
                  <w:tcW w:w="760" w:type="pct"/>
                  <w:tcBorders>
                    <w:tl2br w:val="nil"/>
                    <w:tr2bl w:val="nil"/>
                  </w:tcBorders>
                  <w:noWrap w:val="0"/>
                  <w:vAlign w:val="center"/>
                </w:tcPr>
                <w:p>
                  <w:pPr>
                    <w:pStyle w:val="38"/>
                    <w:bidi w:val="0"/>
                    <w:rPr>
                      <w:rFonts w:hint="default" w:ascii="Times New Roman" w:hAnsi="Times New Roman" w:cs="Times New Roman"/>
                      <w:sz w:val="21"/>
                      <w:szCs w:val="21"/>
                      <w:u w:val="single"/>
                    </w:rPr>
                  </w:pPr>
                  <w:r>
                    <w:rPr>
                      <w:rFonts w:hint="default" w:ascii="Times New Roman" w:hAnsi="Times New Roman" w:cs="Times New Roman"/>
                      <w:sz w:val="21"/>
                      <w:szCs w:val="21"/>
                      <w:u w:val="single"/>
                    </w:rPr>
                    <w:t>弱</w:t>
                  </w:r>
                </w:p>
              </w:tc>
              <w:tc>
                <w:tcPr>
                  <w:tcW w:w="760" w:type="pct"/>
                  <w:tcBorders>
                    <w:tl2br w:val="nil"/>
                    <w:tr2bl w:val="nil"/>
                  </w:tcBorders>
                  <w:noWrap w:val="0"/>
                  <w:vAlign w:val="center"/>
                </w:tcPr>
                <w:p>
                  <w:pPr>
                    <w:pStyle w:val="38"/>
                    <w:bidi w:val="0"/>
                    <w:rPr>
                      <w:rFonts w:hint="default" w:ascii="Times New Roman" w:hAnsi="Times New Roman" w:cs="Times New Roman"/>
                      <w:sz w:val="21"/>
                      <w:szCs w:val="21"/>
                      <w:u w:val="single"/>
                    </w:rPr>
                  </w:pPr>
                  <w:r>
                    <w:rPr>
                      <w:rFonts w:hint="default" w:ascii="Times New Roman" w:hAnsi="Times New Roman" w:cs="Times New Roman"/>
                      <w:sz w:val="21"/>
                      <w:szCs w:val="21"/>
                      <w:u w:val="single"/>
                    </w:rPr>
                    <w:t>易</w:t>
                  </w:r>
                </w:p>
              </w:tc>
              <w:tc>
                <w:tcPr>
                  <w:tcW w:w="784" w:type="pct"/>
                  <w:vMerge w:val="continue"/>
                  <w:tcBorders>
                    <w:tl2br w:val="nil"/>
                    <w:tr2bl w:val="nil"/>
                  </w:tcBorders>
                  <w:noWrap w:val="0"/>
                  <w:vAlign w:val="center"/>
                </w:tcPr>
                <w:p>
                  <w:pPr>
                    <w:pStyle w:val="38"/>
                    <w:bidi w:val="0"/>
                    <w:rPr>
                      <w:rFonts w:hint="default" w:ascii="Times New Roman" w:hAnsi="Times New Roman" w:cs="Times New Roman"/>
                      <w:sz w:val="21"/>
                      <w:szCs w:val="21"/>
                      <w:u w:val="single"/>
                    </w:rPr>
                  </w:pPr>
                </w:p>
              </w:tc>
              <w:tc>
                <w:tcPr>
                  <w:tcW w:w="1173" w:type="pct"/>
                  <w:vMerge w:val="continue"/>
                  <w:tcBorders>
                    <w:tl2br w:val="nil"/>
                    <w:tr2bl w:val="nil"/>
                  </w:tcBorders>
                  <w:noWrap w:val="0"/>
                  <w:vAlign w:val="center"/>
                </w:tcPr>
                <w:p>
                  <w:pPr>
                    <w:pStyle w:val="38"/>
                    <w:bidi w:val="0"/>
                    <w:rPr>
                      <w:rFonts w:hint="default" w:ascii="Times New Roman" w:hAnsi="Times New Roman" w:cs="Times New Roman"/>
                      <w:sz w:val="21"/>
                      <w:szCs w:val="21"/>
                      <w:u w:val="single"/>
                    </w:rPr>
                  </w:pPr>
                </w:p>
              </w:tc>
              <w:tc>
                <w:tcPr>
                  <w:tcW w:w="760" w:type="pct"/>
                  <w:vMerge w:val="continue"/>
                  <w:tcBorders>
                    <w:tl2br w:val="nil"/>
                    <w:tr2bl w:val="nil"/>
                  </w:tcBorders>
                  <w:noWrap w:val="0"/>
                  <w:vAlign w:val="center"/>
                </w:tcPr>
                <w:p>
                  <w:pPr>
                    <w:pStyle w:val="38"/>
                    <w:bidi w:val="0"/>
                    <w:rPr>
                      <w:rFonts w:hint="default" w:ascii="Times New Roman" w:hAnsi="Times New Roman" w:cs="Times New Roman"/>
                      <w:sz w:val="21"/>
                      <w:szCs w:val="21"/>
                      <w:u w:val="singl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334" w:hRule="atLeast"/>
                <w:jc w:val="center"/>
              </w:trPr>
              <w:tc>
                <w:tcPr>
                  <w:tcW w:w="760" w:type="pct"/>
                  <w:vMerge w:val="restart"/>
                  <w:tcBorders>
                    <w:tl2br w:val="nil"/>
                    <w:tr2bl w:val="nil"/>
                  </w:tcBorders>
                  <w:noWrap w:val="0"/>
                  <w:vAlign w:val="center"/>
                </w:tcPr>
                <w:p>
                  <w:pPr>
                    <w:pStyle w:val="38"/>
                    <w:bidi w:val="0"/>
                    <w:rPr>
                      <w:rFonts w:hint="default" w:ascii="Times New Roman" w:hAnsi="Times New Roman" w:cs="Times New Roman"/>
                      <w:sz w:val="21"/>
                      <w:szCs w:val="21"/>
                      <w:u w:val="single"/>
                    </w:rPr>
                  </w:pPr>
                  <w:r>
                    <w:rPr>
                      <w:rFonts w:hint="default" w:ascii="Times New Roman" w:hAnsi="Times New Roman" w:cs="Times New Roman"/>
                      <w:sz w:val="21"/>
                      <w:szCs w:val="21"/>
                      <w:u w:val="single"/>
                    </w:rPr>
                    <w:t>一般防渗区</w:t>
                  </w:r>
                </w:p>
              </w:tc>
              <w:tc>
                <w:tcPr>
                  <w:tcW w:w="760" w:type="pct"/>
                  <w:tcBorders>
                    <w:tl2br w:val="nil"/>
                    <w:tr2bl w:val="nil"/>
                  </w:tcBorders>
                  <w:noWrap w:val="0"/>
                  <w:vAlign w:val="center"/>
                </w:tcPr>
                <w:p>
                  <w:pPr>
                    <w:pStyle w:val="38"/>
                    <w:bidi w:val="0"/>
                    <w:rPr>
                      <w:rFonts w:hint="default" w:ascii="Times New Roman" w:hAnsi="Times New Roman" w:cs="Times New Roman"/>
                      <w:sz w:val="21"/>
                      <w:szCs w:val="21"/>
                      <w:u w:val="single"/>
                    </w:rPr>
                  </w:pPr>
                  <w:r>
                    <w:rPr>
                      <w:rFonts w:hint="default" w:ascii="Times New Roman" w:hAnsi="Times New Roman" w:cs="Times New Roman"/>
                      <w:sz w:val="21"/>
                      <w:szCs w:val="21"/>
                      <w:u w:val="single"/>
                    </w:rPr>
                    <w:t>弱</w:t>
                  </w:r>
                </w:p>
              </w:tc>
              <w:tc>
                <w:tcPr>
                  <w:tcW w:w="760" w:type="pct"/>
                  <w:tcBorders>
                    <w:tl2br w:val="nil"/>
                    <w:tr2bl w:val="nil"/>
                  </w:tcBorders>
                  <w:noWrap w:val="0"/>
                  <w:vAlign w:val="center"/>
                </w:tcPr>
                <w:p>
                  <w:pPr>
                    <w:pStyle w:val="38"/>
                    <w:bidi w:val="0"/>
                    <w:rPr>
                      <w:rFonts w:hint="default" w:ascii="Times New Roman" w:hAnsi="Times New Roman" w:cs="Times New Roman"/>
                      <w:sz w:val="21"/>
                      <w:szCs w:val="21"/>
                      <w:u w:val="single"/>
                    </w:rPr>
                  </w:pPr>
                  <w:r>
                    <w:rPr>
                      <w:rFonts w:hint="default" w:ascii="Times New Roman" w:hAnsi="Times New Roman" w:cs="Times New Roman"/>
                      <w:sz w:val="21"/>
                      <w:szCs w:val="21"/>
                      <w:u w:val="single"/>
                    </w:rPr>
                    <w:t>易-难</w:t>
                  </w:r>
                </w:p>
              </w:tc>
              <w:tc>
                <w:tcPr>
                  <w:tcW w:w="784" w:type="pct"/>
                  <w:vMerge w:val="restart"/>
                  <w:tcBorders>
                    <w:tl2br w:val="nil"/>
                    <w:tr2bl w:val="nil"/>
                  </w:tcBorders>
                  <w:noWrap w:val="0"/>
                  <w:vAlign w:val="center"/>
                </w:tcPr>
                <w:p>
                  <w:pPr>
                    <w:pStyle w:val="38"/>
                    <w:bidi w:val="0"/>
                    <w:rPr>
                      <w:rFonts w:hint="default" w:ascii="Times New Roman" w:hAnsi="Times New Roman" w:cs="Times New Roman"/>
                      <w:sz w:val="21"/>
                      <w:szCs w:val="21"/>
                      <w:u w:val="single"/>
                    </w:rPr>
                  </w:pPr>
                  <w:r>
                    <w:rPr>
                      <w:rFonts w:hint="default" w:ascii="Times New Roman" w:hAnsi="Times New Roman" w:cs="Times New Roman"/>
                      <w:sz w:val="21"/>
                      <w:szCs w:val="21"/>
                      <w:u w:val="single"/>
                    </w:rPr>
                    <w:t>其他类型</w:t>
                  </w:r>
                </w:p>
              </w:tc>
              <w:tc>
                <w:tcPr>
                  <w:tcW w:w="1173" w:type="pct"/>
                  <w:vMerge w:val="restart"/>
                  <w:tcBorders>
                    <w:tl2br w:val="nil"/>
                    <w:tr2bl w:val="nil"/>
                  </w:tcBorders>
                  <w:noWrap w:val="0"/>
                  <w:vAlign w:val="center"/>
                </w:tcPr>
                <w:p>
                  <w:pPr>
                    <w:pStyle w:val="38"/>
                    <w:bidi w:val="0"/>
                    <w:rPr>
                      <w:rFonts w:hint="default" w:ascii="Times New Roman" w:hAnsi="Times New Roman" w:cs="Times New Roman"/>
                      <w:sz w:val="21"/>
                      <w:szCs w:val="21"/>
                      <w:u w:val="single"/>
                    </w:rPr>
                  </w:pPr>
                  <w:r>
                    <w:rPr>
                      <w:rFonts w:hint="default" w:ascii="Times New Roman" w:hAnsi="Times New Roman" w:cs="Times New Roman"/>
                      <w:sz w:val="21"/>
                      <w:szCs w:val="21"/>
                      <w:u w:val="single"/>
                    </w:rPr>
                    <w:t>等效黏土防渗层Mb≥1.5m，k≤1×10</w:t>
                  </w:r>
                  <w:r>
                    <w:rPr>
                      <w:rFonts w:hint="default" w:ascii="Times New Roman" w:hAnsi="Times New Roman" w:cs="Times New Roman"/>
                      <w:sz w:val="21"/>
                      <w:szCs w:val="21"/>
                      <w:u w:val="single"/>
                      <w:vertAlign w:val="superscript"/>
                    </w:rPr>
                    <w:t>-7</w:t>
                  </w:r>
                  <w:r>
                    <w:rPr>
                      <w:rFonts w:hint="default" w:ascii="Times New Roman" w:hAnsi="Times New Roman" w:cs="Times New Roman"/>
                      <w:sz w:val="21"/>
                      <w:szCs w:val="21"/>
                      <w:u w:val="single"/>
                    </w:rPr>
                    <w:t>cm/s；或参照GB16889执行</w:t>
                  </w:r>
                </w:p>
              </w:tc>
              <w:tc>
                <w:tcPr>
                  <w:tcW w:w="760" w:type="pct"/>
                  <w:vMerge w:val="restart"/>
                  <w:tcBorders>
                    <w:tl2br w:val="nil"/>
                    <w:tr2bl w:val="nil"/>
                  </w:tcBorders>
                  <w:noWrap w:val="0"/>
                  <w:vAlign w:val="center"/>
                </w:tcPr>
                <w:p>
                  <w:pPr>
                    <w:pStyle w:val="38"/>
                    <w:bidi w:val="0"/>
                    <w:rPr>
                      <w:rFonts w:hint="default" w:ascii="Times New Roman" w:hAnsi="Times New Roman" w:eastAsia="宋体" w:cs="Times New Roman"/>
                      <w:sz w:val="21"/>
                      <w:szCs w:val="21"/>
                      <w:u w:val="single"/>
                      <w:lang w:val="en-US" w:eastAsia="zh-CN"/>
                    </w:rPr>
                  </w:pPr>
                  <w:r>
                    <w:rPr>
                      <w:rFonts w:hint="default" w:ascii="Times New Roman" w:hAnsi="Times New Roman" w:cs="Times New Roman"/>
                      <w:sz w:val="21"/>
                      <w:szCs w:val="21"/>
                      <w:u w:val="single"/>
                    </w:rPr>
                    <w:t>化粪池</w:t>
                  </w:r>
                  <w:r>
                    <w:rPr>
                      <w:rFonts w:hint="default" w:ascii="Times New Roman" w:hAnsi="Times New Roman" w:cs="Times New Roman"/>
                      <w:sz w:val="21"/>
                      <w:szCs w:val="21"/>
                      <w:u w:val="single"/>
                      <w:lang w:eastAsia="zh-CN"/>
                    </w:rPr>
                    <w:t>、</w:t>
                  </w:r>
                  <w:r>
                    <w:rPr>
                      <w:rFonts w:hint="default" w:ascii="Times New Roman" w:hAnsi="Times New Roman" w:cs="Times New Roman"/>
                      <w:sz w:val="21"/>
                      <w:szCs w:val="21"/>
                      <w:u w:val="single"/>
                      <w:lang w:val="en-US" w:eastAsia="zh-CN"/>
                    </w:rPr>
                    <w:t>车库</w:t>
                  </w:r>
                  <w:r>
                    <w:rPr>
                      <w:rFonts w:hint="eastAsia" w:cs="Times New Roman"/>
                      <w:sz w:val="21"/>
                      <w:szCs w:val="21"/>
                      <w:u w:val="single"/>
                      <w:lang w:val="en-US" w:eastAsia="zh-CN"/>
                    </w:rPr>
                    <w:t>、维修车间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334" w:hRule="atLeast"/>
                <w:jc w:val="center"/>
              </w:trPr>
              <w:tc>
                <w:tcPr>
                  <w:tcW w:w="760" w:type="pct"/>
                  <w:vMerge w:val="continue"/>
                  <w:tcBorders>
                    <w:tl2br w:val="nil"/>
                    <w:tr2bl w:val="nil"/>
                  </w:tcBorders>
                  <w:noWrap w:val="0"/>
                  <w:vAlign w:val="center"/>
                </w:tcPr>
                <w:p>
                  <w:pPr>
                    <w:pStyle w:val="38"/>
                    <w:bidi w:val="0"/>
                    <w:rPr>
                      <w:rFonts w:hint="default" w:ascii="Times New Roman" w:hAnsi="Times New Roman" w:cs="Times New Roman"/>
                      <w:sz w:val="21"/>
                      <w:szCs w:val="21"/>
                      <w:u w:val="single"/>
                    </w:rPr>
                  </w:pPr>
                </w:p>
              </w:tc>
              <w:tc>
                <w:tcPr>
                  <w:tcW w:w="760" w:type="pct"/>
                  <w:tcBorders>
                    <w:tl2br w:val="nil"/>
                    <w:tr2bl w:val="nil"/>
                  </w:tcBorders>
                  <w:noWrap w:val="0"/>
                  <w:vAlign w:val="center"/>
                </w:tcPr>
                <w:p>
                  <w:pPr>
                    <w:pStyle w:val="38"/>
                    <w:bidi w:val="0"/>
                    <w:rPr>
                      <w:rFonts w:hint="default" w:ascii="Times New Roman" w:hAnsi="Times New Roman" w:cs="Times New Roman"/>
                      <w:sz w:val="21"/>
                      <w:szCs w:val="21"/>
                      <w:u w:val="single"/>
                    </w:rPr>
                  </w:pPr>
                  <w:r>
                    <w:rPr>
                      <w:rFonts w:hint="default" w:ascii="Times New Roman" w:hAnsi="Times New Roman" w:cs="Times New Roman"/>
                      <w:sz w:val="21"/>
                      <w:szCs w:val="21"/>
                      <w:u w:val="single"/>
                    </w:rPr>
                    <w:t>中-强</w:t>
                  </w:r>
                </w:p>
              </w:tc>
              <w:tc>
                <w:tcPr>
                  <w:tcW w:w="760" w:type="pct"/>
                  <w:tcBorders>
                    <w:tl2br w:val="nil"/>
                    <w:tr2bl w:val="nil"/>
                  </w:tcBorders>
                  <w:noWrap w:val="0"/>
                  <w:vAlign w:val="center"/>
                </w:tcPr>
                <w:p>
                  <w:pPr>
                    <w:pStyle w:val="38"/>
                    <w:bidi w:val="0"/>
                    <w:rPr>
                      <w:rFonts w:hint="default" w:ascii="Times New Roman" w:hAnsi="Times New Roman" w:cs="Times New Roman"/>
                      <w:sz w:val="21"/>
                      <w:szCs w:val="21"/>
                      <w:u w:val="single"/>
                    </w:rPr>
                  </w:pPr>
                  <w:r>
                    <w:rPr>
                      <w:rFonts w:hint="default" w:ascii="Times New Roman" w:hAnsi="Times New Roman" w:cs="Times New Roman"/>
                      <w:sz w:val="21"/>
                      <w:szCs w:val="21"/>
                      <w:u w:val="single"/>
                    </w:rPr>
                    <w:t>难</w:t>
                  </w:r>
                </w:p>
              </w:tc>
              <w:tc>
                <w:tcPr>
                  <w:tcW w:w="784" w:type="pct"/>
                  <w:vMerge w:val="continue"/>
                  <w:tcBorders>
                    <w:tl2br w:val="nil"/>
                    <w:tr2bl w:val="nil"/>
                  </w:tcBorders>
                  <w:noWrap w:val="0"/>
                  <w:vAlign w:val="center"/>
                </w:tcPr>
                <w:p>
                  <w:pPr>
                    <w:pStyle w:val="38"/>
                    <w:bidi w:val="0"/>
                    <w:rPr>
                      <w:rFonts w:hint="default" w:ascii="Times New Roman" w:hAnsi="Times New Roman" w:cs="Times New Roman"/>
                      <w:sz w:val="21"/>
                      <w:szCs w:val="21"/>
                      <w:u w:val="single"/>
                    </w:rPr>
                  </w:pPr>
                </w:p>
              </w:tc>
              <w:tc>
                <w:tcPr>
                  <w:tcW w:w="1173" w:type="pct"/>
                  <w:vMerge w:val="continue"/>
                  <w:tcBorders>
                    <w:tl2br w:val="nil"/>
                    <w:tr2bl w:val="nil"/>
                  </w:tcBorders>
                  <w:noWrap w:val="0"/>
                  <w:vAlign w:val="center"/>
                </w:tcPr>
                <w:p>
                  <w:pPr>
                    <w:pStyle w:val="38"/>
                    <w:bidi w:val="0"/>
                    <w:rPr>
                      <w:rFonts w:hint="default" w:ascii="Times New Roman" w:hAnsi="Times New Roman" w:cs="Times New Roman"/>
                      <w:sz w:val="21"/>
                      <w:szCs w:val="21"/>
                      <w:u w:val="single"/>
                    </w:rPr>
                  </w:pPr>
                </w:p>
              </w:tc>
              <w:tc>
                <w:tcPr>
                  <w:tcW w:w="760" w:type="pct"/>
                  <w:vMerge w:val="continue"/>
                  <w:tcBorders>
                    <w:tl2br w:val="nil"/>
                    <w:tr2bl w:val="nil"/>
                  </w:tcBorders>
                  <w:noWrap w:val="0"/>
                  <w:vAlign w:val="center"/>
                </w:tcPr>
                <w:p>
                  <w:pPr>
                    <w:pStyle w:val="38"/>
                    <w:bidi w:val="0"/>
                    <w:rPr>
                      <w:rFonts w:hint="default" w:ascii="Times New Roman" w:hAnsi="Times New Roman" w:cs="Times New Roman"/>
                      <w:sz w:val="21"/>
                      <w:szCs w:val="21"/>
                      <w:u w:val="singl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334" w:hRule="atLeast"/>
                <w:jc w:val="center"/>
              </w:trPr>
              <w:tc>
                <w:tcPr>
                  <w:tcW w:w="760" w:type="pct"/>
                  <w:vMerge w:val="continue"/>
                  <w:tcBorders>
                    <w:tl2br w:val="nil"/>
                    <w:tr2bl w:val="nil"/>
                  </w:tcBorders>
                  <w:noWrap w:val="0"/>
                  <w:vAlign w:val="center"/>
                </w:tcPr>
                <w:p>
                  <w:pPr>
                    <w:pStyle w:val="38"/>
                    <w:bidi w:val="0"/>
                    <w:rPr>
                      <w:rFonts w:hint="default" w:ascii="Times New Roman" w:hAnsi="Times New Roman" w:cs="Times New Roman"/>
                      <w:sz w:val="21"/>
                      <w:szCs w:val="21"/>
                      <w:u w:val="single"/>
                    </w:rPr>
                  </w:pPr>
                </w:p>
              </w:tc>
              <w:tc>
                <w:tcPr>
                  <w:tcW w:w="760" w:type="pct"/>
                  <w:tcBorders>
                    <w:tl2br w:val="nil"/>
                    <w:tr2bl w:val="nil"/>
                  </w:tcBorders>
                  <w:noWrap w:val="0"/>
                  <w:vAlign w:val="center"/>
                </w:tcPr>
                <w:p>
                  <w:pPr>
                    <w:pStyle w:val="38"/>
                    <w:bidi w:val="0"/>
                    <w:rPr>
                      <w:rFonts w:hint="default" w:ascii="Times New Roman" w:hAnsi="Times New Roman" w:cs="Times New Roman"/>
                      <w:sz w:val="21"/>
                      <w:szCs w:val="21"/>
                      <w:u w:val="single"/>
                    </w:rPr>
                  </w:pPr>
                  <w:r>
                    <w:rPr>
                      <w:rFonts w:hint="default" w:ascii="Times New Roman" w:hAnsi="Times New Roman" w:cs="Times New Roman"/>
                      <w:sz w:val="21"/>
                      <w:szCs w:val="21"/>
                      <w:u w:val="single"/>
                    </w:rPr>
                    <w:t>中</w:t>
                  </w:r>
                </w:p>
              </w:tc>
              <w:tc>
                <w:tcPr>
                  <w:tcW w:w="760" w:type="pct"/>
                  <w:tcBorders>
                    <w:tl2br w:val="nil"/>
                    <w:tr2bl w:val="nil"/>
                  </w:tcBorders>
                  <w:noWrap w:val="0"/>
                  <w:vAlign w:val="center"/>
                </w:tcPr>
                <w:p>
                  <w:pPr>
                    <w:pStyle w:val="38"/>
                    <w:bidi w:val="0"/>
                    <w:rPr>
                      <w:rFonts w:hint="default" w:ascii="Times New Roman" w:hAnsi="Times New Roman" w:cs="Times New Roman"/>
                      <w:sz w:val="21"/>
                      <w:szCs w:val="21"/>
                      <w:u w:val="single"/>
                    </w:rPr>
                  </w:pPr>
                  <w:r>
                    <w:rPr>
                      <w:rFonts w:hint="default" w:ascii="Times New Roman" w:hAnsi="Times New Roman" w:cs="Times New Roman"/>
                      <w:sz w:val="21"/>
                      <w:szCs w:val="21"/>
                      <w:u w:val="single"/>
                    </w:rPr>
                    <w:t>易</w:t>
                  </w:r>
                </w:p>
              </w:tc>
              <w:tc>
                <w:tcPr>
                  <w:tcW w:w="784" w:type="pct"/>
                  <w:vMerge w:val="restart"/>
                  <w:tcBorders>
                    <w:tl2br w:val="nil"/>
                    <w:tr2bl w:val="nil"/>
                  </w:tcBorders>
                  <w:noWrap w:val="0"/>
                  <w:vAlign w:val="center"/>
                </w:tcPr>
                <w:p>
                  <w:pPr>
                    <w:pStyle w:val="38"/>
                    <w:bidi w:val="0"/>
                    <w:rPr>
                      <w:rFonts w:hint="default" w:ascii="Times New Roman" w:hAnsi="Times New Roman" w:cs="Times New Roman"/>
                      <w:sz w:val="21"/>
                      <w:szCs w:val="21"/>
                      <w:u w:val="single"/>
                    </w:rPr>
                  </w:pPr>
                  <w:r>
                    <w:rPr>
                      <w:rFonts w:hint="default" w:ascii="Times New Roman" w:hAnsi="Times New Roman" w:cs="Times New Roman"/>
                      <w:sz w:val="21"/>
                      <w:szCs w:val="21"/>
                      <w:u w:val="single"/>
                    </w:rPr>
                    <w:t>重金属、持久性有机物污染物</w:t>
                  </w:r>
                </w:p>
              </w:tc>
              <w:tc>
                <w:tcPr>
                  <w:tcW w:w="1173" w:type="pct"/>
                  <w:vMerge w:val="continue"/>
                  <w:tcBorders>
                    <w:tl2br w:val="nil"/>
                    <w:tr2bl w:val="nil"/>
                  </w:tcBorders>
                  <w:noWrap w:val="0"/>
                  <w:vAlign w:val="center"/>
                </w:tcPr>
                <w:p>
                  <w:pPr>
                    <w:pStyle w:val="38"/>
                    <w:bidi w:val="0"/>
                    <w:rPr>
                      <w:rFonts w:hint="default" w:ascii="Times New Roman" w:hAnsi="Times New Roman" w:cs="Times New Roman"/>
                      <w:sz w:val="21"/>
                      <w:szCs w:val="21"/>
                      <w:u w:val="single"/>
                    </w:rPr>
                  </w:pPr>
                </w:p>
              </w:tc>
              <w:tc>
                <w:tcPr>
                  <w:tcW w:w="760" w:type="pct"/>
                  <w:vMerge w:val="continue"/>
                  <w:tcBorders>
                    <w:tl2br w:val="nil"/>
                    <w:tr2bl w:val="nil"/>
                  </w:tcBorders>
                  <w:noWrap w:val="0"/>
                  <w:vAlign w:val="center"/>
                </w:tcPr>
                <w:p>
                  <w:pPr>
                    <w:pStyle w:val="38"/>
                    <w:bidi w:val="0"/>
                    <w:rPr>
                      <w:rFonts w:hint="default" w:ascii="Times New Roman" w:hAnsi="Times New Roman" w:cs="Times New Roman"/>
                      <w:sz w:val="21"/>
                      <w:szCs w:val="21"/>
                      <w:u w:val="singl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341" w:hRule="atLeast"/>
                <w:jc w:val="center"/>
              </w:trPr>
              <w:tc>
                <w:tcPr>
                  <w:tcW w:w="760" w:type="pct"/>
                  <w:vMerge w:val="continue"/>
                  <w:tcBorders>
                    <w:tl2br w:val="nil"/>
                    <w:tr2bl w:val="nil"/>
                  </w:tcBorders>
                  <w:noWrap w:val="0"/>
                  <w:vAlign w:val="center"/>
                </w:tcPr>
                <w:p>
                  <w:pPr>
                    <w:pStyle w:val="38"/>
                    <w:bidi w:val="0"/>
                    <w:rPr>
                      <w:rFonts w:hint="default" w:ascii="Times New Roman" w:hAnsi="Times New Roman" w:cs="Times New Roman"/>
                      <w:sz w:val="21"/>
                      <w:szCs w:val="21"/>
                      <w:u w:val="single"/>
                    </w:rPr>
                  </w:pPr>
                </w:p>
              </w:tc>
              <w:tc>
                <w:tcPr>
                  <w:tcW w:w="760" w:type="pct"/>
                  <w:tcBorders>
                    <w:tl2br w:val="nil"/>
                    <w:tr2bl w:val="nil"/>
                  </w:tcBorders>
                  <w:noWrap w:val="0"/>
                  <w:vAlign w:val="center"/>
                </w:tcPr>
                <w:p>
                  <w:pPr>
                    <w:pStyle w:val="38"/>
                    <w:bidi w:val="0"/>
                    <w:rPr>
                      <w:rFonts w:hint="default" w:ascii="Times New Roman" w:hAnsi="Times New Roman" w:cs="Times New Roman"/>
                      <w:sz w:val="21"/>
                      <w:szCs w:val="21"/>
                      <w:u w:val="single"/>
                    </w:rPr>
                  </w:pPr>
                  <w:r>
                    <w:rPr>
                      <w:rFonts w:hint="default" w:ascii="Times New Roman" w:hAnsi="Times New Roman" w:cs="Times New Roman"/>
                      <w:sz w:val="21"/>
                      <w:szCs w:val="21"/>
                      <w:u w:val="single"/>
                    </w:rPr>
                    <w:t>强</w:t>
                  </w:r>
                </w:p>
              </w:tc>
              <w:tc>
                <w:tcPr>
                  <w:tcW w:w="760" w:type="pct"/>
                  <w:tcBorders>
                    <w:tl2br w:val="nil"/>
                    <w:tr2bl w:val="nil"/>
                  </w:tcBorders>
                  <w:noWrap w:val="0"/>
                  <w:vAlign w:val="center"/>
                </w:tcPr>
                <w:p>
                  <w:pPr>
                    <w:pStyle w:val="38"/>
                    <w:bidi w:val="0"/>
                    <w:rPr>
                      <w:rFonts w:hint="default" w:ascii="Times New Roman" w:hAnsi="Times New Roman" w:cs="Times New Roman"/>
                      <w:sz w:val="21"/>
                      <w:szCs w:val="21"/>
                      <w:u w:val="single"/>
                    </w:rPr>
                  </w:pPr>
                  <w:r>
                    <w:rPr>
                      <w:rFonts w:hint="default" w:ascii="Times New Roman" w:hAnsi="Times New Roman" w:cs="Times New Roman"/>
                      <w:sz w:val="21"/>
                      <w:szCs w:val="21"/>
                      <w:u w:val="single"/>
                    </w:rPr>
                    <w:t>易</w:t>
                  </w:r>
                </w:p>
              </w:tc>
              <w:tc>
                <w:tcPr>
                  <w:tcW w:w="784" w:type="pct"/>
                  <w:vMerge w:val="continue"/>
                  <w:tcBorders>
                    <w:tl2br w:val="nil"/>
                    <w:tr2bl w:val="nil"/>
                  </w:tcBorders>
                  <w:noWrap w:val="0"/>
                  <w:vAlign w:val="center"/>
                </w:tcPr>
                <w:p>
                  <w:pPr>
                    <w:pStyle w:val="38"/>
                    <w:bidi w:val="0"/>
                    <w:rPr>
                      <w:rFonts w:hint="default" w:ascii="Times New Roman" w:hAnsi="Times New Roman" w:cs="Times New Roman"/>
                      <w:sz w:val="21"/>
                      <w:szCs w:val="21"/>
                      <w:u w:val="single"/>
                    </w:rPr>
                  </w:pPr>
                </w:p>
              </w:tc>
              <w:tc>
                <w:tcPr>
                  <w:tcW w:w="1173" w:type="pct"/>
                  <w:vMerge w:val="continue"/>
                  <w:tcBorders>
                    <w:tl2br w:val="nil"/>
                    <w:tr2bl w:val="nil"/>
                  </w:tcBorders>
                  <w:noWrap w:val="0"/>
                  <w:vAlign w:val="center"/>
                </w:tcPr>
                <w:p>
                  <w:pPr>
                    <w:pStyle w:val="38"/>
                    <w:bidi w:val="0"/>
                    <w:rPr>
                      <w:rFonts w:hint="default" w:ascii="Times New Roman" w:hAnsi="Times New Roman" w:cs="Times New Roman"/>
                      <w:sz w:val="21"/>
                      <w:szCs w:val="21"/>
                      <w:u w:val="single"/>
                    </w:rPr>
                  </w:pPr>
                </w:p>
              </w:tc>
              <w:tc>
                <w:tcPr>
                  <w:tcW w:w="760" w:type="pct"/>
                  <w:vMerge w:val="continue"/>
                  <w:tcBorders>
                    <w:tl2br w:val="nil"/>
                    <w:tr2bl w:val="nil"/>
                  </w:tcBorders>
                  <w:noWrap w:val="0"/>
                  <w:vAlign w:val="center"/>
                </w:tcPr>
                <w:p>
                  <w:pPr>
                    <w:pStyle w:val="38"/>
                    <w:bidi w:val="0"/>
                    <w:rPr>
                      <w:rFonts w:hint="default" w:ascii="Times New Roman" w:hAnsi="Times New Roman" w:cs="Times New Roman"/>
                      <w:sz w:val="21"/>
                      <w:szCs w:val="21"/>
                      <w:u w:val="singl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350" w:hRule="atLeast"/>
                <w:jc w:val="center"/>
              </w:trPr>
              <w:tc>
                <w:tcPr>
                  <w:tcW w:w="760" w:type="pct"/>
                  <w:tcBorders>
                    <w:tl2br w:val="nil"/>
                    <w:tr2bl w:val="nil"/>
                  </w:tcBorders>
                  <w:noWrap w:val="0"/>
                  <w:vAlign w:val="center"/>
                </w:tcPr>
                <w:p>
                  <w:pPr>
                    <w:pStyle w:val="38"/>
                    <w:bidi w:val="0"/>
                    <w:rPr>
                      <w:rFonts w:hint="default" w:ascii="Times New Roman" w:hAnsi="Times New Roman" w:cs="Times New Roman"/>
                      <w:sz w:val="21"/>
                      <w:szCs w:val="21"/>
                      <w:u w:val="single"/>
                    </w:rPr>
                  </w:pPr>
                  <w:r>
                    <w:rPr>
                      <w:rFonts w:hint="default" w:ascii="Times New Roman" w:hAnsi="Times New Roman" w:cs="Times New Roman"/>
                      <w:sz w:val="21"/>
                      <w:szCs w:val="21"/>
                      <w:u w:val="single"/>
                    </w:rPr>
                    <w:t>简单防渗区</w:t>
                  </w:r>
                </w:p>
              </w:tc>
              <w:tc>
                <w:tcPr>
                  <w:tcW w:w="760" w:type="pct"/>
                  <w:tcBorders>
                    <w:tl2br w:val="nil"/>
                    <w:tr2bl w:val="nil"/>
                  </w:tcBorders>
                  <w:noWrap w:val="0"/>
                  <w:vAlign w:val="center"/>
                </w:tcPr>
                <w:p>
                  <w:pPr>
                    <w:pStyle w:val="38"/>
                    <w:bidi w:val="0"/>
                    <w:rPr>
                      <w:rFonts w:hint="default" w:ascii="Times New Roman" w:hAnsi="Times New Roman" w:cs="Times New Roman"/>
                      <w:sz w:val="21"/>
                      <w:szCs w:val="21"/>
                      <w:u w:val="single"/>
                    </w:rPr>
                  </w:pPr>
                  <w:r>
                    <w:rPr>
                      <w:rFonts w:hint="default" w:ascii="Times New Roman" w:hAnsi="Times New Roman" w:cs="Times New Roman"/>
                      <w:sz w:val="21"/>
                      <w:szCs w:val="21"/>
                      <w:u w:val="single"/>
                    </w:rPr>
                    <w:t>中-强</w:t>
                  </w:r>
                </w:p>
              </w:tc>
              <w:tc>
                <w:tcPr>
                  <w:tcW w:w="760" w:type="pct"/>
                  <w:tcBorders>
                    <w:tl2br w:val="nil"/>
                    <w:tr2bl w:val="nil"/>
                  </w:tcBorders>
                  <w:noWrap w:val="0"/>
                  <w:vAlign w:val="center"/>
                </w:tcPr>
                <w:p>
                  <w:pPr>
                    <w:pStyle w:val="38"/>
                    <w:bidi w:val="0"/>
                    <w:rPr>
                      <w:rFonts w:hint="default" w:ascii="Times New Roman" w:hAnsi="Times New Roman" w:cs="Times New Roman"/>
                      <w:sz w:val="21"/>
                      <w:szCs w:val="21"/>
                      <w:u w:val="single"/>
                    </w:rPr>
                  </w:pPr>
                  <w:r>
                    <w:rPr>
                      <w:rFonts w:hint="default" w:ascii="Times New Roman" w:hAnsi="Times New Roman" w:cs="Times New Roman"/>
                      <w:sz w:val="21"/>
                      <w:szCs w:val="21"/>
                      <w:u w:val="single"/>
                    </w:rPr>
                    <w:t>易</w:t>
                  </w:r>
                </w:p>
              </w:tc>
              <w:tc>
                <w:tcPr>
                  <w:tcW w:w="784" w:type="pct"/>
                  <w:tcBorders>
                    <w:tl2br w:val="nil"/>
                    <w:tr2bl w:val="nil"/>
                  </w:tcBorders>
                  <w:noWrap w:val="0"/>
                  <w:vAlign w:val="center"/>
                </w:tcPr>
                <w:p>
                  <w:pPr>
                    <w:pStyle w:val="38"/>
                    <w:bidi w:val="0"/>
                    <w:rPr>
                      <w:rFonts w:hint="default" w:ascii="Times New Roman" w:hAnsi="Times New Roman" w:cs="Times New Roman"/>
                      <w:sz w:val="21"/>
                      <w:szCs w:val="21"/>
                      <w:u w:val="single"/>
                    </w:rPr>
                  </w:pPr>
                  <w:r>
                    <w:rPr>
                      <w:rFonts w:hint="default" w:ascii="Times New Roman" w:hAnsi="Times New Roman" w:cs="Times New Roman"/>
                      <w:sz w:val="21"/>
                      <w:szCs w:val="21"/>
                      <w:u w:val="single"/>
                    </w:rPr>
                    <w:t>其他类型</w:t>
                  </w:r>
                </w:p>
              </w:tc>
              <w:tc>
                <w:tcPr>
                  <w:tcW w:w="1173" w:type="pct"/>
                  <w:tcBorders>
                    <w:tl2br w:val="nil"/>
                    <w:tr2bl w:val="nil"/>
                  </w:tcBorders>
                  <w:noWrap w:val="0"/>
                  <w:vAlign w:val="center"/>
                </w:tcPr>
                <w:p>
                  <w:pPr>
                    <w:pStyle w:val="38"/>
                    <w:bidi w:val="0"/>
                    <w:rPr>
                      <w:rFonts w:hint="default" w:ascii="Times New Roman" w:hAnsi="Times New Roman" w:cs="Times New Roman"/>
                      <w:sz w:val="21"/>
                      <w:szCs w:val="21"/>
                      <w:u w:val="single"/>
                    </w:rPr>
                  </w:pPr>
                  <w:r>
                    <w:rPr>
                      <w:rFonts w:hint="default" w:ascii="Times New Roman" w:hAnsi="Times New Roman" w:cs="Times New Roman"/>
                      <w:sz w:val="21"/>
                      <w:szCs w:val="21"/>
                      <w:u w:val="single"/>
                    </w:rPr>
                    <w:t>一般地面硬化</w:t>
                  </w:r>
                </w:p>
              </w:tc>
              <w:tc>
                <w:tcPr>
                  <w:tcW w:w="760" w:type="pct"/>
                  <w:tcBorders>
                    <w:tl2br w:val="nil"/>
                    <w:tr2bl w:val="nil"/>
                  </w:tcBorders>
                  <w:noWrap w:val="0"/>
                  <w:vAlign w:val="center"/>
                </w:tcPr>
                <w:p>
                  <w:pPr>
                    <w:pStyle w:val="38"/>
                    <w:bidi w:val="0"/>
                    <w:rPr>
                      <w:rFonts w:hint="eastAsia" w:ascii="Times New Roman" w:hAnsi="Times New Roman" w:eastAsia="宋体" w:cs="Times New Roman"/>
                      <w:sz w:val="21"/>
                      <w:szCs w:val="21"/>
                      <w:u w:val="single"/>
                      <w:lang w:eastAsia="zh-CN"/>
                    </w:rPr>
                  </w:pPr>
                  <w:r>
                    <w:rPr>
                      <w:rFonts w:hint="eastAsia" w:cs="Times New Roman"/>
                      <w:sz w:val="21"/>
                      <w:szCs w:val="21"/>
                      <w:u w:val="single"/>
                      <w:lang w:eastAsia="zh-CN"/>
                    </w:rPr>
                    <w:t>办公楼</w:t>
                  </w:r>
                </w:p>
              </w:tc>
            </w:tr>
          </w:tbl>
          <w:p>
            <w:pPr>
              <w:spacing w:line="360" w:lineRule="auto"/>
              <w:ind w:firstLine="48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防渗层尽量在地表铺设，按照污染防治分区采取不同的设计方案，具体如下：</w:t>
            </w:r>
          </w:p>
          <w:p>
            <w:pPr>
              <w:spacing w:line="360" w:lineRule="auto"/>
              <w:ind w:firstLine="48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①重点防渗区：采用坚固、防渗、耐腐蚀的钢筋混凝土材料铺设，防渗层采用等效黏土防渗层Mb≥6.0m，k≤1×10</w:t>
            </w:r>
            <w:r>
              <w:rPr>
                <w:rFonts w:hint="default" w:ascii="Times New Roman" w:hAnsi="Times New Roman" w:cs="Times New Roman"/>
                <w:color w:val="000000"/>
                <w:sz w:val="24"/>
                <w:u w:val="single"/>
                <w:vertAlign w:val="superscript"/>
              </w:rPr>
              <w:t>-7</w:t>
            </w:r>
            <w:r>
              <w:rPr>
                <w:rFonts w:hint="default" w:ascii="Times New Roman" w:hAnsi="Times New Roman" w:cs="Times New Roman"/>
                <w:color w:val="000000"/>
                <w:sz w:val="24"/>
                <w:u w:val="single"/>
              </w:rPr>
              <w:t>cm/s，并采用环氧漆做防腐防渗处理，切断污染地下水途径。</w:t>
            </w:r>
          </w:p>
          <w:p>
            <w:pPr>
              <w:spacing w:line="360" w:lineRule="auto"/>
              <w:ind w:firstLine="48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②一般防渗区：地面采取等效黏土防渗层Mb≥1.5m，k≤1×10</w:t>
            </w:r>
            <w:r>
              <w:rPr>
                <w:rFonts w:hint="default" w:ascii="Times New Roman" w:hAnsi="Times New Roman" w:cs="Times New Roman"/>
                <w:color w:val="000000"/>
                <w:sz w:val="24"/>
                <w:u w:val="single"/>
                <w:vertAlign w:val="superscript"/>
              </w:rPr>
              <w:t>-7</w:t>
            </w:r>
            <w:r>
              <w:rPr>
                <w:rFonts w:hint="default" w:ascii="Times New Roman" w:hAnsi="Times New Roman" w:cs="Times New Roman"/>
                <w:color w:val="000000"/>
                <w:sz w:val="24"/>
                <w:u w:val="single"/>
              </w:rPr>
              <w:t>cm/s。</w:t>
            </w:r>
          </w:p>
          <w:p>
            <w:pPr>
              <w:spacing w:line="360" w:lineRule="auto"/>
              <w:ind w:firstLine="48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③简单防渗区：采用一般硬化的方式防渗。</w:t>
            </w:r>
          </w:p>
          <w:p>
            <w:pPr>
              <w:ind w:firstLine="480"/>
              <w:jc w:val="both"/>
              <w:rPr>
                <w:rFonts w:cs="Times New Roman"/>
                <w:lang w:val="en-US"/>
              </w:rPr>
            </w:pPr>
            <w:r>
              <w:rPr>
                <w:rFonts w:hint="default" w:ascii="Times New Roman" w:hAnsi="Times New Roman" w:cs="Times New Roman"/>
                <w:color w:val="000000"/>
                <w:u w:val="single"/>
              </w:rPr>
              <w:t>经采取以上措施后，项目对地下水</w:t>
            </w:r>
            <w:r>
              <w:rPr>
                <w:rFonts w:hint="eastAsia" w:cs="Times New Roman"/>
                <w:color w:val="auto"/>
                <w:u w:val="single"/>
                <w:lang w:eastAsia="zh-CN"/>
              </w:rPr>
              <w:t>、土壤</w:t>
            </w:r>
            <w:r>
              <w:rPr>
                <w:rFonts w:hint="default" w:ascii="Times New Roman" w:hAnsi="Times New Roman" w:cs="Times New Roman"/>
                <w:color w:val="000000"/>
                <w:u w:val="single"/>
              </w:rPr>
              <w:t>环境影响较小</w:t>
            </w:r>
            <w:r>
              <w:rPr>
                <w:rFonts w:cs="Times New Roman"/>
                <w:u w:val="single"/>
                <w:lang w:val="en-US"/>
              </w:rPr>
              <w:t>。</w:t>
            </w:r>
          </w:p>
          <w:p>
            <w:pPr>
              <w:pStyle w:val="8"/>
              <w:ind w:left="0" w:leftChars="0" w:firstLine="0" w:firstLineChars="0"/>
              <w:rPr>
                <w:b/>
                <w:bCs/>
                <w:lang w:val="en-US"/>
              </w:rPr>
            </w:pPr>
            <w:r>
              <w:rPr>
                <w:rFonts w:hint="eastAsia"/>
                <w:b/>
                <w:bCs/>
                <w:lang w:val="en-US" w:eastAsia="zh-CN"/>
              </w:rPr>
              <w:t>4.2.6</w:t>
            </w:r>
            <w:r>
              <w:rPr>
                <w:rFonts w:hint="eastAsia"/>
                <w:b/>
                <w:bCs/>
                <w:lang w:val="en-US"/>
              </w:rPr>
              <w:t xml:space="preserve"> 生态环境影响分析</w:t>
            </w:r>
          </w:p>
          <w:p>
            <w:pPr>
              <w:ind w:firstLine="480"/>
              <w:jc w:val="both"/>
              <w:rPr>
                <w:rFonts w:hint="eastAsia" w:cs="Times New Roman"/>
                <w:lang w:eastAsia="zh-CN"/>
              </w:rPr>
            </w:pPr>
            <w:r>
              <w:rPr>
                <w:rFonts w:hint="eastAsia" w:cs="Times New Roman"/>
                <w:lang w:eastAsia="zh-CN"/>
              </w:rPr>
              <w:t>根据《建设项目环境影响报告表编制技术指南（污染影响类）》</w:t>
            </w:r>
            <w:r>
              <w:rPr>
                <w:rFonts w:hint="eastAsia" w:cs="Times New Roman"/>
                <w:lang w:val="en-US" w:eastAsia="zh-CN"/>
              </w:rPr>
              <w:t>，</w:t>
            </w:r>
            <w:r>
              <w:rPr>
                <w:rFonts w:hint="eastAsia" w:cs="Times New Roman"/>
                <w:lang w:eastAsia="zh-CN"/>
              </w:rPr>
              <w:t>产业园区外建设项目新增用地且用地范围内含有生态环境保护目标的，应明确保护措施。</w:t>
            </w:r>
          </w:p>
          <w:p>
            <w:pPr>
              <w:ind w:firstLine="480"/>
              <w:jc w:val="both"/>
              <w:rPr>
                <w:lang w:val="en-US"/>
              </w:rPr>
            </w:pPr>
            <w:r>
              <w:rPr>
                <w:rFonts w:hint="eastAsia" w:cs="Times New Roman"/>
                <w:lang w:val="en-US" w:eastAsia="zh-CN"/>
              </w:rPr>
              <w:t>本</w:t>
            </w:r>
            <w:r>
              <w:rPr>
                <w:rFonts w:hint="eastAsia"/>
                <w:lang w:val="en-US" w:eastAsia="zh-CN"/>
              </w:rPr>
              <w:t>项目占地范围内已无动植物存在，</w:t>
            </w:r>
            <w:r>
              <w:rPr>
                <w:rFonts w:hint="eastAsia" w:cs="Times New Roman"/>
                <w:sz w:val="24"/>
                <w:lang w:eastAsia="zh-CN"/>
              </w:rPr>
              <w:t>运营期间，保证污染治理设施正常进行，那么</w:t>
            </w:r>
            <w:r>
              <w:rPr>
                <w:rFonts w:hint="default" w:ascii="Times New Roman" w:hAnsi="Times New Roman" w:cs="Times New Roman"/>
                <w:sz w:val="24"/>
              </w:rPr>
              <w:t>运营期对周边生态环境的影响很小</w:t>
            </w:r>
            <w:r>
              <w:rPr>
                <w:rFonts w:hint="eastAsia"/>
                <w:lang w:val="en-US"/>
              </w:rPr>
              <w:t>。</w:t>
            </w:r>
          </w:p>
          <w:p>
            <w:pPr>
              <w:pStyle w:val="8"/>
              <w:ind w:left="0" w:leftChars="0" w:firstLine="0" w:firstLineChars="0"/>
              <w:rPr>
                <w:u w:val="single"/>
              </w:rPr>
            </w:pPr>
            <w:r>
              <w:rPr>
                <w:rFonts w:hint="eastAsia"/>
                <w:b/>
                <w:bCs/>
                <w:u w:val="single"/>
                <w:lang w:val="en-US"/>
              </w:rPr>
              <w:t>4.</w:t>
            </w:r>
            <w:r>
              <w:rPr>
                <w:rFonts w:hint="eastAsia"/>
                <w:b/>
                <w:bCs/>
                <w:u w:val="single"/>
                <w:lang w:val="en-US" w:eastAsia="zh-CN"/>
              </w:rPr>
              <w:t>2.7</w:t>
            </w:r>
            <w:r>
              <w:rPr>
                <w:rFonts w:hint="eastAsia"/>
                <w:b/>
                <w:bCs/>
                <w:u w:val="single"/>
                <w:lang w:val="en-US"/>
              </w:rPr>
              <w:t xml:space="preserve"> </w:t>
            </w:r>
            <w:r>
              <w:rPr>
                <w:b/>
                <w:bCs/>
                <w:u w:val="single"/>
              </w:rPr>
              <w:t>环境风险分析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imes New Roman" w:hAnsi="Times New Roman" w:cs="Times New Roman"/>
                <w:color w:val="000000"/>
                <w:sz w:val="24"/>
                <w:u w:val="single"/>
                <w:lang w:eastAsia="zh-CN"/>
              </w:rPr>
            </w:pPr>
            <w:r>
              <w:rPr>
                <w:rFonts w:hint="default" w:ascii="Times New Roman" w:hAnsi="Times New Roman" w:cs="Times New Roman"/>
                <w:color w:val="000000"/>
                <w:sz w:val="24"/>
                <w:u w:val="single"/>
              </w:rPr>
              <w:t>根据《建设项目环境影响报告表编制技术指南（污染影响类）》</w:t>
            </w:r>
            <w:r>
              <w:rPr>
                <w:rFonts w:hint="eastAsia" w:ascii="Times New Roman" w:hAnsi="Times New Roman" w:cs="Times New Roman"/>
                <w:color w:val="000000"/>
                <w:sz w:val="24"/>
                <w:u w:val="single"/>
                <w:lang w:eastAsia="zh-CN"/>
              </w:rPr>
              <w:t>，项目应明确有毒有害和易燃易爆等危险物质和风险源分布情况及可能影响途径，并提出相应环境风险防范措施。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本项目生产过程为简单物理机械压缩生活垃圾过程，无化学反应过程。不存在有毒有害原料泄露、爆炸等问题。本项目主要环境风险主要为垃圾渗滤液</w:t>
            </w:r>
            <w:r>
              <w:rPr>
                <w:rFonts w:hint="eastAsia" w:cs="Times New Roman"/>
                <w:color w:val="000000"/>
                <w:sz w:val="24"/>
                <w:u w:val="single"/>
                <w:lang w:eastAsia="zh-CN"/>
              </w:rPr>
              <w:t>及垃圾臭气，风险源主要集中在垃圾渗滤收集池及废气排放口</w:t>
            </w:r>
            <w:r>
              <w:rPr>
                <w:rFonts w:hint="default" w:ascii="Times New Roman" w:hAnsi="Times New Roman" w:cs="Times New Roman"/>
                <w:color w:val="000000"/>
                <w:sz w:val="24"/>
                <w:u w:val="single"/>
              </w:rPr>
              <w:t>。</w:t>
            </w:r>
          </w:p>
          <w:p>
            <w:pPr>
              <w:pStyle w:val="20"/>
              <w:keepNext w:val="0"/>
              <w:keepLines w:val="0"/>
              <w:pageBreakBefore w:val="0"/>
              <w:widowControl w:val="0"/>
              <w:tabs>
                <w:tab w:val="center" w:pos="4153"/>
                <w:tab w:val="right" w:pos="8306"/>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000000"/>
                <w:sz w:val="24"/>
                <w:u w:val="single"/>
              </w:rPr>
            </w:pPr>
            <w:r>
              <w:rPr>
                <w:rFonts w:hint="eastAsia" w:cs="Times New Roman"/>
                <w:color w:val="000000"/>
                <w:sz w:val="24"/>
                <w:u w:val="single"/>
                <w:lang w:val="en-US" w:eastAsia="zh-CN"/>
              </w:rPr>
              <w:t>综上，本环评提出以下环境风险防范措施</w:t>
            </w:r>
            <w:r>
              <w:rPr>
                <w:rFonts w:hint="default" w:ascii="Times New Roman" w:hAnsi="Times New Roman" w:cs="Times New Roman"/>
                <w:color w:val="000000"/>
                <w:sz w:val="24"/>
                <w:u w:val="single"/>
              </w:rPr>
              <w:t>。</w:t>
            </w:r>
          </w:p>
          <w:p>
            <w:pPr>
              <w:bidi w:val="0"/>
              <w:rPr>
                <w:rFonts w:hint="eastAsia" w:cs="Times New Roman"/>
                <w:u w:val="single"/>
                <w:lang w:eastAsia="zh-CN"/>
              </w:rPr>
            </w:pPr>
            <w:r>
              <w:rPr>
                <w:rFonts w:hint="eastAsia" w:cs="Times New Roman"/>
                <w:u w:val="single"/>
                <w:lang w:eastAsia="zh-CN"/>
              </w:rPr>
              <w:t>（</w:t>
            </w:r>
            <w:r>
              <w:rPr>
                <w:rFonts w:hint="eastAsia" w:cs="Times New Roman"/>
                <w:u w:val="single"/>
                <w:lang w:val="en-US" w:eastAsia="zh-CN"/>
              </w:rPr>
              <w:t>1</w:t>
            </w:r>
            <w:r>
              <w:rPr>
                <w:rFonts w:hint="eastAsia" w:cs="Times New Roman"/>
                <w:u w:val="single"/>
                <w:lang w:eastAsia="zh-CN"/>
              </w:rPr>
              <w:t>）垃圾臭气</w:t>
            </w:r>
          </w:p>
          <w:p>
            <w:pPr>
              <w:bidi w:val="0"/>
              <w:rPr>
                <w:rFonts w:hint="eastAsia" w:eastAsia="宋体" w:cs="Times New Roman"/>
                <w:u w:val="single"/>
                <w:lang w:eastAsia="zh-CN"/>
              </w:rPr>
            </w:pPr>
            <w:r>
              <w:rPr>
                <w:rFonts w:hint="eastAsia" w:ascii="Times New Roman" w:hAnsi="Times New Roman" w:cs="Times New Roman"/>
                <w:color w:val="000000"/>
                <w:sz w:val="24"/>
                <w:u w:val="single"/>
                <w:lang w:eastAsia="zh-CN"/>
              </w:rPr>
              <w:t>①</w:t>
            </w:r>
            <w:r>
              <w:rPr>
                <w:rFonts w:hint="default" w:ascii="Times New Roman" w:hAnsi="Times New Roman" w:cs="Times New Roman"/>
                <w:color w:val="000000"/>
                <w:sz w:val="24"/>
                <w:u w:val="single"/>
              </w:rPr>
              <w:t>建议建设单位加强</w:t>
            </w:r>
            <w:r>
              <w:rPr>
                <w:rFonts w:hint="eastAsia" w:ascii="Times New Roman" w:hAnsi="Times New Roman" w:cs="Times New Roman"/>
                <w:color w:val="000000"/>
                <w:sz w:val="24"/>
                <w:u w:val="single"/>
                <w:lang w:eastAsia="zh-CN"/>
              </w:rPr>
              <w:t>负压除尘除臭</w:t>
            </w:r>
            <w:r>
              <w:rPr>
                <w:rFonts w:hint="default" w:ascii="Times New Roman" w:hAnsi="Times New Roman" w:cs="Times New Roman"/>
                <w:color w:val="000000"/>
                <w:sz w:val="24"/>
                <w:u w:val="single"/>
              </w:rPr>
              <w:t>设备设施巡视、检查管理，定期对设备进行保养、检修维护</w:t>
            </w:r>
            <w:r>
              <w:rPr>
                <w:rFonts w:hint="eastAsia" w:ascii="Times New Roman" w:hAnsi="Times New Roman" w:cs="Times New Roman"/>
                <w:color w:val="000000"/>
                <w:sz w:val="24"/>
                <w:u w:val="single"/>
                <w:lang w:eastAsia="zh-CN"/>
              </w:rPr>
              <w:t>。</w:t>
            </w:r>
          </w:p>
          <w:p>
            <w:pPr>
              <w:bidi w:val="0"/>
              <w:rPr>
                <w:rFonts w:hint="eastAsia" w:ascii="Times New Roman" w:hAnsi="Times New Roman" w:cs="Times New Roman"/>
                <w:color w:val="000000"/>
                <w:sz w:val="24"/>
                <w:u w:val="single"/>
                <w:lang w:eastAsia="zh-CN"/>
              </w:rPr>
            </w:pPr>
            <w:r>
              <w:rPr>
                <w:rFonts w:hint="eastAsia" w:ascii="Times New Roman" w:hAnsi="Times New Roman" w:cs="Times New Roman"/>
                <w:color w:val="000000"/>
                <w:sz w:val="24"/>
                <w:u w:val="single"/>
                <w:lang w:eastAsia="zh-CN"/>
              </w:rPr>
              <w:t>②</w:t>
            </w:r>
            <w:r>
              <w:rPr>
                <w:rFonts w:hint="default" w:ascii="Times New Roman" w:hAnsi="Times New Roman" w:cs="Times New Roman"/>
                <w:color w:val="000000"/>
                <w:sz w:val="24"/>
                <w:u w:val="single"/>
              </w:rPr>
              <w:t>保证站内垃圾</w:t>
            </w:r>
            <w:r>
              <w:rPr>
                <w:rFonts w:hint="eastAsia" w:cs="Times New Roman"/>
                <w:color w:val="000000"/>
                <w:sz w:val="24"/>
                <w:u w:val="single"/>
                <w:lang w:eastAsia="zh-CN"/>
              </w:rPr>
              <w:t>“</w:t>
            </w:r>
            <w:r>
              <w:rPr>
                <w:rFonts w:hint="default" w:ascii="Times New Roman" w:hAnsi="Times New Roman" w:cs="Times New Roman"/>
                <w:color w:val="000000"/>
                <w:sz w:val="24"/>
                <w:u w:val="single"/>
              </w:rPr>
              <w:t>日产日清</w:t>
            </w:r>
            <w:r>
              <w:rPr>
                <w:rFonts w:hint="eastAsia" w:cs="Times New Roman"/>
                <w:color w:val="000000"/>
                <w:sz w:val="24"/>
                <w:u w:val="single"/>
                <w:lang w:eastAsia="zh-CN"/>
              </w:rPr>
              <w:t>”</w:t>
            </w:r>
            <w:r>
              <w:rPr>
                <w:rFonts w:hint="default" w:ascii="Times New Roman" w:hAnsi="Times New Roman" w:cs="Times New Roman"/>
                <w:color w:val="000000"/>
                <w:sz w:val="24"/>
                <w:u w:val="single"/>
              </w:rPr>
              <w:t>以及制冷设备正常运行，保证抑制微生物生长</w:t>
            </w:r>
            <w:r>
              <w:rPr>
                <w:rFonts w:hint="eastAsia" w:ascii="Times New Roman" w:hAnsi="Times New Roman" w:cs="Times New Roman"/>
                <w:color w:val="000000"/>
                <w:sz w:val="24"/>
                <w:u w:val="single"/>
                <w:lang w:eastAsia="zh-CN"/>
              </w:rPr>
              <w:t>。</w:t>
            </w:r>
          </w:p>
          <w:p>
            <w:pPr>
              <w:bidi w:val="0"/>
              <w:rPr>
                <w:rFonts w:hint="eastAsia" w:ascii="Times New Roman" w:hAnsi="Times New Roman" w:cs="Times New Roman"/>
                <w:color w:val="000000"/>
                <w:sz w:val="24"/>
                <w:u w:val="single"/>
                <w:lang w:eastAsia="zh-CN"/>
              </w:rPr>
            </w:pPr>
            <w:r>
              <w:rPr>
                <w:rFonts w:hint="eastAsia"/>
                <w:u w:val="single"/>
                <w:lang w:eastAsia="zh-CN"/>
              </w:rPr>
              <w:t>③</w:t>
            </w:r>
            <w:r>
              <w:rPr>
                <w:rFonts w:hint="default" w:ascii="Times New Roman" w:hAnsi="Times New Roman" w:cs="Times New Roman"/>
                <w:color w:val="000000"/>
                <w:sz w:val="24"/>
                <w:u w:val="single"/>
              </w:rPr>
              <w:t>据生产情况、天气状况等更新除臭除臭设施的喷淋头</w:t>
            </w:r>
            <w:r>
              <w:rPr>
                <w:rFonts w:hint="eastAsia" w:ascii="Times New Roman" w:hAnsi="Times New Roman" w:cs="Times New Roman"/>
                <w:color w:val="000000"/>
                <w:sz w:val="24"/>
                <w:u w:val="single"/>
                <w:lang w:eastAsia="zh-CN"/>
              </w:rPr>
              <w:t>。</w:t>
            </w:r>
          </w:p>
          <w:p>
            <w:pPr>
              <w:bidi w:val="0"/>
              <w:rPr>
                <w:rFonts w:hint="eastAsia" w:ascii="Times New Roman" w:hAnsi="Times New Roman" w:cs="Times New Roman"/>
                <w:color w:val="000000"/>
                <w:sz w:val="24"/>
                <w:u w:val="single"/>
                <w:lang w:eastAsia="zh-CN"/>
              </w:rPr>
            </w:pPr>
            <w:r>
              <w:rPr>
                <w:rFonts w:hint="eastAsia"/>
                <w:u w:val="single"/>
                <w:lang w:eastAsia="zh-CN"/>
              </w:rPr>
              <w:t>④</w:t>
            </w:r>
            <w:r>
              <w:rPr>
                <w:rFonts w:hint="default" w:ascii="Times New Roman" w:hAnsi="Times New Roman" w:cs="Times New Roman"/>
                <w:color w:val="000000"/>
                <w:sz w:val="24"/>
                <w:u w:val="single"/>
              </w:rPr>
              <w:t>若意外出现故障排放，应立即组织相应人员抢修，排除故障，否则应停产检修，务必保证在设备设施正常运行的情况下生产</w:t>
            </w:r>
            <w:r>
              <w:rPr>
                <w:rFonts w:hint="eastAsia" w:ascii="Times New Roman" w:hAnsi="Times New Roman" w:cs="Times New Roman"/>
                <w:color w:val="000000"/>
                <w:sz w:val="24"/>
                <w:u w:val="single"/>
                <w:lang w:eastAsia="zh-CN"/>
              </w:rPr>
              <w:t>。</w:t>
            </w:r>
          </w:p>
          <w:p>
            <w:pPr>
              <w:bidi w:val="0"/>
              <w:rPr>
                <w:rFonts w:hint="eastAsia" w:ascii="Times New Roman" w:hAnsi="Times New Roman" w:cs="Times New Roman"/>
                <w:color w:val="000000"/>
                <w:sz w:val="24"/>
                <w:u w:val="single"/>
                <w:lang w:eastAsia="zh-CN"/>
              </w:rPr>
            </w:pPr>
            <w:r>
              <w:rPr>
                <w:rFonts w:hint="eastAsia"/>
                <w:u w:val="single"/>
                <w:lang w:eastAsia="zh-CN"/>
              </w:rPr>
              <w:t>⑤</w:t>
            </w:r>
            <w:r>
              <w:rPr>
                <w:rFonts w:hint="default" w:ascii="Times New Roman" w:hAnsi="Times New Roman" w:cs="Times New Roman"/>
                <w:color w:val="000000"/>
                <w:sz w:val="24"/>
                <w:u w:val="single"/>
              </w:rPr>
              <w:t>若设备实施安全隐患太大，建议建设单位应立即停产检查、维修</w:t>
            </w:r>
            <w:r>
              <w:rPr>
                <w:rFonts w:hint="eastAsia" w:ascii="Times New Roman" w:hAnsi="Times New Roman" w:cs="Times New Roman"/>
                <w:color w:val="000000"/>
                <w:sz w:val="24"/>
                <w:u w:val="single"/>
                <w:lang w:eastAsia="zh-CN"/>
              </w:rPr>
              <w:t>。</w:t>
            </w:r>
          </w:p>
          <w:p>
            <w:pPr>
              <w:bidi w:val="0"/>
              <w:rPr>
                <w:rFonts w:hint="eastAsia" w:ascii="Times New Roman" w:hAnsi="Times New Roman" w:cs="Times New Roman"/>
                <w:color w:val="000000"/>
                <w:sz w:val="24"/>
                <w:u w:val="single"/>
                <w:lang w:eastAsia="zh-CN"/>
              </w:rPr>
            </w:pPr>
            <w:r>
              <w:rPr>
                <w:rFonts w:hint="eastAsia" w:ascii="Times New Roman" w:hAnsi="Times New Roman" w:cs="Times New Roman"/>
                <w:color w:val="000000"/>
                <w:sz w:val="24"/>
                <w:u w:val="single"/>
                <w:lang w:eastAsia="zh-CN"/>
              </w:rPr>
              <w:t>⑥</w:t>
            </w:r>
            <w:r>
              <w:rPr>
                <w:rFonts w:hint="default" w:ascii="Times New Roman" w:hAnsi="Times New Roman" w:cs="Times New Roman"/>
                <w:color w:val="000000"/>
                <w:sz w:val="24"/>
                <w:u w:val="single"/>
              </w:rPr>
              <w:t>若设备实施安全隐患、故障太大，除尘除臭措施无法使用的情况下</w:t>
            </w:r>
            <w:r>
              <w:rPr>
                <w:rFonts w:hint="eastAsia" w:ascii="Times New Roman" w:hAnsi="Times New Roman" w:cs="Times New Roman"/>
                <w:color w:val="000000"/>
                <w:sz w:val="24"/>
                <w:u w:val="single"/>
                <w:lang w:eastAsia="zh-CN"/>
              </w:rPr>
              <w:t>，建设单位应采取以下措施：</w:t>
            </w:r>
          </w:p>
          <w:p>
            <w:pPr>
              <w:pStyle w:val="68"/>
              <w:spacing w:line="360" w:lineRule="auto"/>
              <w:ind w:firstLine="48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a、立即做好转运站调度工作，制定垃圾合理转运方案。通知各片区垃圾收集工作人员，收集的垃圾运往其他片区垃圾转运站进行处理。调度室与其他片区转运做好联系沟通，了解其他转运站当前的处理能力，根据其他片区转运站处理情况，分配好本项目服务范围收集好的生活垃圾量，并转运至其他转运站。</w:t>
            </w:r>
          </w:p>
          <w:p>
            <w:pPr>
              <w:pStyle w:val="68"/>
              <w:spacing w:line="360" w:lineRule="auto"/>
              <w:ind w:firstLine="48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b、在出现废气故障的情况</w:t>
            </w:r>
            <w:r>
              <w:rPr>
                <w:rFonts w:hint="eastAsia" w:cs="Times New Roman"/>
                <w:color w:val="000000"/>
                <w:sz w:val="24"/>
                <w:u w:val="single"/>
                <w:lang w:eastAsia="zh-CN"/>
              </w:rPr>
              <w:t>时</w:t>
            </w:r>
            <w:r>
              <w:rPr>
                <w:rFonts w:hint="default" w:ascii="Times New Roman" w:hAnsi="Times New Roman" w:cs="Times New Roman"/>
                <w:color w:val="000000"/>
                <w:sz w:val="24"/>
                <w:u w:val="single"/>
              </w:rPr>
              <w:t>，为</w:t>
            </w:r>
            <w:r>
              <w:rPr>
                <w:rFonts w:hint="eastAsia" w:cs="Times New Roman"/>
                <w:color w:val="000000"/>
                <w:sz w:val="24"/>
                <w:u w:val="single"/>
                <w:lang w:eastAsia="zh-CN"/>
              </w:rPr>
              <w:t>较少</w:t>
            </w:r>
            <w:r>
              <w:rPr>
                <w:rFonts w:hint="default" w:ascii="Times New Roman" w:hAnsi="Times New Roman" w:cs="Times New Roman"/>
                <w:color w:val="000000"/>
                <w:sz w:val="24"/>
                <w:u w:val="single"/>
              </w:rPr>
              <w:t>对周边环境的影响。本评估报告建议：建设单位务必停止转运站的垃圾压缩工作及转运工作，调动员工进行全面抢修，在抢修保证废气治理措施正常运行的情况下，才可进行压缩和转运工作。</w:t>
            </w:r>
          </w:p>
          <w:p>
            <w:pPr>
              <w:pStyle w:val="68"/>
              <w:spacing w:line="360" w:lineRule="auto"/>
              <w:ind w:firstLine="48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c、在废气治理措施出现故障的情况下，本项目应及时与其他转运站做好联系沟通，及时将本站内暂存的生活垃圾转运至其他转运站消化处理。</w:t>
            </w:r>
          </w:p>
          <w:p>
            <w:pPr>
              <w:bidi w:val="0"/>
              <w:rPr>
                <w:rFonts w:hint="eastAsia"/>
                <w:u w:val="single"/>
                <w:lang w:eastAsia="zh-CN"/>
              </w:rPr>
            </w:pPr>
            <w:r>
              <w:rPr>
                <w:rFonts w:hint="default" w:ascii="Times New Roman" w:hAnsi="Times New Roman" w:cs="Times New Roman"/>
                <w:color w:val="000000"/>
                <w:sz w:val="24"/>
                <w:u w:val="single"/>
              </w:rPr>
              <w:t>综上所述，若本项目出现意外情况，在采取上述所提出的应急措施后，可减轻或避免本项目产生的废气对外环境的影响。</w:t>
            </w:r>
          </w:p>
          <w:p>
            <w:pPr>
              <w:bidi w:val="0"/>
              <w:rPr>
                <w:rFonts w:hint="eastAsia" w:cs="Times New Roman"/>
                <w:u w:val="single"/>
                <w:lang w:eastAsia="zh-CN"/>
              </w:rPr>
            </w:pPr>
            <w:r>
              <w:rPr>
                <w:rFonts w:hint="eastAsia" w:cs="Times New Roman"/>
                <w:u w:val="single"/>
                <w:lang w:eastAsia="zh-CN"/>
              </w:rPr>
              <w:t>（</w:t>
            </w:r>
            <w:r>
              <w:rPr>
                <w:rFonts w:hint="eastAsia" w:cs="Times New Roman"/>
                <w:u w:val="single"/>
                <w:lang w:val="en-US" w:eastAsia="zh-CN"/>
              </w:rPr>
              <w:t>2</w:t>
            </w:r>
            <w:r>
              <w:rPr>
                <w:rFonts w:hint="eastAsia" w:cs="Times New Roman"/>
                <w:u w:val="single"/>
                <w:lang w:eastAsia="zh-CN"/>
              </w:rPr>
              <w:t>）垃圾渗滤液</w:t>
            </w:r>
          </w:p>
          <w:p>
            <w:pPr>
              <w:bidi w:val="0"/>
              <w:rPr>
                <w:rFonts w:hint="default" w:ascii="Times New Roman" w:hAnsi="Times New Roman" w:cs="Times New Roman"/>
                <w:u w:val="single"/>
                <w:lang w:val="en-US" w:eastAsia="zh-CN"/>
              </w:rPr>
            </w:pPr>
            <w:r>
              <w:rPr>
                <w:rFonts w:hint="eastAsia" w:cs="Times New Roman"/>
                <w:b w:val="0"/>
                <w:bCs w:val="0"/>
                <w:color w:val="000000"/>
                <w:sz w:val="24"/>
                <w:u w:val="single"/>
                <w:lang w:eastAsia="zh-CN"/>
              </w:rPr>
              <w:t>①建设单位应</w:t>
            </w:r>
            <w:r>
              <w:rPr>
                <w:rFonts w:hint="default" w:ascii="Times New Roman" w:hAnsi="Times New Roman" w:cs="Times New Roman"/>
                <w:color w:val="000000"/>
                <w:sz w:val="24"/>
                <w:u w:val="single"/>
              </w:rPr>
              <w:t>定期对垃圾</w:t>
            </w:r>
            <w:r>
              <w:rPr>
                <w:rFonts w:hint="default" w:ascii="Times New Roman" w:hAnsi="Times New Roman" w:cs="Times New Roman"/>
                <w:color w:val="000000"/>
                <w:sz w:val="24"/>
                <w:u w:val="single"/>
                <w:lang w:eastAsia="zh-CN"/>
              </w:rPr>
              <w:t>压</w:t>
            </w:r>
            <w:r>
              <w:rPr>
                <w:rFonts w:hint="default" w:ascii="Times New Roman" w:hAnsi="Times New Roman" w:cs="Times New Roman"/>
                <w:color w:val="000000"/>
                <w:sz w:val="24"/>
                <w:u w:val="single"/>
              </w:rPr>
              <w:t>滤液收集池进行清掏并检查收集池</w:t>
            </w:r>
            <w:r>
              <w:rPr>
                <w:rFonts w:hint="eastAsia" w:cs="Times New Roman"/>
                <w:color w:val="000000"/>
                <w:sz w:val="24"/>
                <w:u w:val="single"/>
                <w:lang w:eastAsia="zh-CN"/>
              </w:rPr>
              <w:t>及输送管道</w:t>
            </w:r>
            <w:r>
              <w:rPr>
                <w:rFonts w:hint="default" w:ascii="Times New Roman" w:hAnsi="Times New Roman" w:cs="Times New Roman"/>
                <w:color w:val="000000"/>
                <w:sz w:val="24"/>
                <w:u w:val="single"/>
              </w:rPr>
              <w:t>是否发生损坏、破裂情况。若出现该类问题出现，建设单位应及时采取修补，做好防腐、防渗</w:t>
            </w:r>
          </w:p>
          <w:p>
            <w:pPr>
              <w:spacing w:line="360" w:lineRule="auto"/>
              <w:ind w:firstLine="480" w:firstLineChars="200"/>
              <w:rPr>
                <w:rFonts w:hint="default" w:ascii="Times New Roman" w:hAnsi="Times New Roman" w:eastAsia="Times New Roman" w:cs="Times New Roman"/>
                <w:color w:val="000000"/>
                <w:sz w:val="24"/>
                <w:u w:val="single"/>
              </w:rPr>
            </w:pPr>
            <w:r>
              <w:rPr>
                <w:rFonts w:hint="default" w:ascii="Times New Roman" w:hAnsi="Times New Roman" w:cs="Times New Roman"/>
                <w:color w:val="000000"/>
                <w:sz w:val="24"/>
                <w:u w:val="single"/>
              </w:rPr>
              <w:t>（</w:t>
            </w:r>
            <w:r>
              <w:rPr>
                <w:rFonts w:hint="eastAsia" w:cs="Times New Roman"/>
                <w:color w:val="000000"/>
                <w:sz w:val="24"/>
                <w:u w:val="single"/>
                <w:lang w:val="en-US" w:eastAsia="zh-CN"/>
              </w:rPr>
              <w:t>3</w:t>
            </w:r>
            <w:r>
              <w:rPr>
                <w:rFonts w:hint="default" w:ascii="Times New Roman" w:hAnsi="Times New Roman" w:cs="Times New Roman"/>
                <w:color w:val="000000"/>
                <w:sz w:val="24"/>
                <w:u w:val="single"/>
              </w:rPr>
              <w:t>）分析结论</w:t>
            </w:r>
          </w:p>
          <w:p>
            <w:pPr>
              <w:pStyle w:val="68"/>
              <w:spacing w:line="360" w:lineRule="auto"/>
              <w:ind w:firstLine="482"/>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综上所述，项目应严格按照消防及安监部门的要求，做好防范措施，设立健全的公司突发环境事故应急组织机构，以便采取更有效的措施来监测灾情及防止污染事故的进一步扩散。正常生产情况下，建设单位按照本环评要求加强管理和设备的维护，并设立完善的预防措施和预警系统，并配备必要的救护设备设施，制定严格的安全操作规程和维修维护措施，本项目的环境风险在可接受范围内。一旦发生事故，因为防护措施得力并反应迅速，可把事故造成的影响降到最小，本项目在环境风险方面来说是可行的。</w:t>
            </w:r>
          </w:p>
          <w:p>
            <w:pPr>
              <w:ind w:firstLine="480"/>
              <w:jc w:val="both"/>
              <w:rPr>
                <w:rFonts w:cs="Times New Roman"/>
                <w:color w:val="000000"/>
                <w:u w:val="single"/>
              </w:rPr>
            </w:pPr>
            <w:r>
              <w:rPr>
                <w:rFonts w:hint="default" w:ascii="Times New Roman" w:hAnsi="Times New Roman" w:cs="Times New Roman"/>
                <w:color w:val="000000"/>
                <w:sz w:val="24"/>
                <w:u w:val="single"/>
              </w:rPr>
              <w:t>为了预防突发性的自然灾害、操作失控、突发性污染事故的发生，确保国家财产和人民健康、卫生的安全，在突发性事故发生时，能迅速、准确地处理和控制事故扩大，把事故损失及危害降到最小程度，有效的应急救援行动是唯一可以抵御事故灾害蔓延和减缓灾害后果的有力措施。</w:t>
            </w:r>
          </w:p>
          <w:p>
            <w:pPr>
              <w:ind w:firstLine="0" w:firstLineChars="0"/>
              <w:rPr>
                <w:rStyle w:val="35"/>
                <w:lang w:val="en-US"/>
              </w:rPr>
            </w:pPr>
            <w:r>
              <w:rPr>
                <w:rStyle w:val="35"/>
                <w:rFonts w:hint="eastAsia"/>
                <w:lang w:val="en-US"/>
              </w:rPr>
              <w:t>4.</w:t>
            </w:r>
            <w:r>
              <w:rPr>
                <w:rStyle w:val="35"/>
                <w:rFonts w:hint="eastAsia" w:eastAsia="黑体"/>
                <w:lang w:val="en-US" w:eastAsia="zh-CN"/>
              </w:rPr>
              <w:t xml:space="preserve">8 </w:t>
            </w:r>
            <w:r>
              <w:rPr>
                <w:rStyle w:val="35"/>
                <w:rFonts w:hint="eastAsia"/>
                <w:lang w:val="en-US"/>
              </w:rPr>
              <w:t>电磁辐射分析</w:t>
            </w:r>
          </w:p>
          <w:p>
            <w:pPr>
              <w:pStyle w:val="30"/>
              <w:ind w:left="480" w:firstLine="480"/>
            </w:pPr>
            <w:r>
              <w:rPr>
                <w:rFonts w:hint="eastAsia"/>
              </w:rPr>
              <w:t>本项目不属于电磁辐射类项目，无需开展电磁辐射影响分析。</w:t>
            </w:r>
          </w:p>
          <w:p>
            <w:pPr>
              <w:ind w:left="110" w:firstLine="420"/>
              <w:rPr>
                <w:sz w:val="21"/>
              </w:rPr>
            </w:pPr>
            <w:r>
              <w:rPr>
                <w:sz w:val="21"/>
              </w:rPr>
              <w:t xml:space="preserve"> </w:t>
            </w:r>
          </w:p>
        </w:tc>
      </w:tr>
    </w:tbl>
    <w:p>
      <w:pPr>
        <w:ind w:firstLine="420"/>
        <w:rPr>
          <w:sz w:val="21"/>
        </w:rPr>
        <w:sectPr>
          <w:pgSz w:w="11910" w:h="16850"/>
          <w:pgMar w:top="1440" w:right="1800" w:bottom="1440" w:left="1800" w:header="0" w:footer="817" w:gutter="0"/>
          <w:cols w:space="720" w:num="1"/>
        </w:sectPr>
      </w:pPr>
    </w:p>
    <w:p>
      <w:pPr>
        <w:pStyle w:val="7"/>
      </w:pPr>
      <w:bookmarkStart w:id="42" w:name="_Toc24251"/>
      <w:bookmarkStart w:id="43" w:name="_Toc11384"/>
      <w:r>
        <w:t>五、环境保护措施监督检查清单</w:t>
      </w:r>
      <w:bookmarkEnd w:id="42"/>
      <w:bookmarkEnd w:id="43"/>
    </w:p>
    <w:tbl>
      <w:tblPr>
        <w:tblStyle w:val="31"/>
        <w:tblW w:w="907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1"/>
        <w:gridCol w:w="1391"/>
        <w:gridCol w:w="1142"/>
        <w:gridCol w:w="1579"/>
        <w:gridCol w:w="1712"/>
        <w:gridCol w:w="28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1832" w:type="dxa"/>
            <w:gridSpan w:val="2"/>
            <w:tcBorders>
              <w:bottom w:val="single" w:color="000000" w:sz="4" w:space="0"/>
              <w:right w:val="single" w:color="000000" w:sz="4" w:space="0"/>
            </w:tcBorders>
          </w:tcPr>
          <w:p>
            <w:pPr>
              <w:pStyle w:val="38"/>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15875</wp:posOffset>
                      </wp:positionH>
                      <wp:positionV relativeFrom="paragraph">
                        <wp:posOffset>-1270</wp:posOffset>
                      </wp:positionV>
                      <wp:extent cx="1109980" cy="504825"/>
                      <wp:effectExtent l="1905" t="4445" r="12065" b="5080"/>
                      <wp:wrapNone/>
                      <wp:docPr id="5" name="直线 2"/>
                      <wp:cNvGraphicFramePr/>
                      <a:graphic xmlns:a="http://schemas.openxmlformats.org/drawingml/2006/main">
                        <a:graphicData uri="http://schemas.microsoft.com/office/word/2010/wordprocessingShape">
                          <wps:wsp>
                            <wps:cNvCnPr/>
                            <wps:spPr>
                              <a:xfrm>
                                <a:off x="0" y="0"/>
                                <a:ext cx="1109980" cy="504825"/>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1.25pt;margin-top:-0.1pt;height:39.75pt;width:87.4pt;mso-position-horizontal-relative:page;z-index:-251657216;mso-width-relative:page;mso-height-relative:page;" filled="f" stroked="t" coordsize="21600,21600" o:gfxdata="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6G/NYAAAAGAQAA&#10;DwAAAAAAAAABACAAAAAiAAAAZHJzL2Rvd25yZXYueG1sUEsBAhQAFAAAAAgAh07iQPWgrdziAQAA&#10;1AMAAA4AAAAAAAAAAQAgAAAAJQEAAGRycy9lMm9Eb2MueG1sUEsFBgAAAAAGAAYAWQEAAHkFAAAA&#10;AA==&#10;">
                      <v:fill on="f" focussize="0,0"/>
                      <v:stroke weight="0.48pt" color="#000000" joinstyle="round"/>
                      <v:imagedata o:title=""/>
                      <o:lock v:ext="edit" aspectratio="f"/>
                    </v:line>
                  </w:pict>
                </mc:Fallback>
              </mc:AlternateContent>
            </w:r>
            <w:r>
              <w:rPr>
                <w:rFonts w:hint="eastAsia"/>
                <w:lang w:val="en-US"/>
              </w:rPr>
              <w:t xml:space="preserve">             </w:t>
            </w:r>
            <w:r>
              <w:t xml:space="preserve">内容 </w:t>
            </w:r>
          </w:p>
          <w:p>
            <w:pPr>
              <w:pStyle w:val="38"/>
              <w:ind w:firstLine="210" w:firstLineChars="100"/>
              <w:jc w:val="both"/>
            </w:pPr>
          </w:p>
          <w:p>
            <w:pPr>
              <w:pStyle w:val="38"/>
              <w:ind w:firstLine="210" w:firstLineChars="100"/>
              <w:jc w:val="both"/>
            </w:pPr>
            <w:r>
              <w:t xml:space="preserve">要素 </w:t>
            </w:r>
          </w:p>
        </w:tc>
        <w:tc>
          <w:tcPr>
            <w:tcW w:w="1142" w:type="dxa"/>
            <w:tcBorders>
              <w:left w:val="single" w:color="000000" w:sz="4" w:space="0"/>
              <w:bottom w:val="single" w:color="000000" w:sz="4" w:space="0"/>
              <w:right w:val="single" w:color="000000" w:sz="4" w:space="0"/>
            </w:tcBorders>
            <w:vAlign w:val="center"/>
          </w:tcPr>
          <w:p>
            <w:pPr>
              <w:pStyle w:val="38"/>
            </w:pPr>
            <w:r>
              <w:t>排放口</w:t>
            </w:r>
          </w:p>
        </w:tc>
        <w:tc>
          <w:tcPr>
            <w:tcW w:w="1579" w:type="dxa"/>
            <w:tcBorders>
              <w:left w:val="single" w:color="000000" w:sz="4" w:space="0"/>
              <w:bottom w:val="single" w:color="000000" w:sz="4" w:space="0"/>
              <w:right w:val="single" w:color="000000" w:sz="4" w:space="0"/>
            </w:tcBorders>
            <w:vAlign w:val="center"/>
          </w:tcPr>
          <w:p>
            <w:pPr>
              <w:pStyle w:val="38"/>
            </w:pPr>
            <w:r>
              <w:t>污染物项目</w:t>
            </w:r>
          </w:p>
        </w:tc>
        <w:tc>
          <w:tcPr>
            <w:tcW w:w="1712" w:type="dxa"/>
            <w:tcBorders>
              <w:left w:val="single" w:color="000000" w:sz="4" w:space="0"/>
              <w:bottom w:val="single" w:color="000000" w:sz="4" w:space="0"/>
              <w:right w:val="single" w:color="000000" w:sz="4" w:space="0"/>
            </w:tcBorders>
            <w:vAlign w:val="center"/>
          </w:tcPr>
          <w:p>
            <w:pPr>
              <w:pStyle w:val="38"/>
            </w:pPr>
            <w:r>
              <w:t>环境保护措施</w:t>
            </w:r>
          </w:p>
        </w:tc>
        <w:tc>
          <w:tcPr>
            <w:tcW w:w="2806" w:type="dxa"/>
            <w:tcBorders>
              <w:left w:val="single" w:color="000000" w:sz="4" w:space="0"/>
              <w:bottom w:val="single" w:color="000000" w:sz="4" w:space="0"/>
            </w:tcBorders>
            <w:vAlign w:val="center"/>
          </w:tcPr>
          <w:p>
            <w:pPr>
              <w:pStyle w:val="38"/>
            </w:pPr>
            <w:r>
              <w:t>执行标准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1832" w:type="dxa"/>
            <w:gridSpan w:val="2"/>
            <w:vMerge w:val="restart"/>
            <w:tcBorders>
              <w:top w:val="single" w:color="000000" w:sz="4" w:space="0"/>
              <w:right w:val="single" w:color="000000" w:sz="4" w:space="0"/>
            </w:tcBorders>
            <w:vAlign w:val="center"/>
          </w:tcPr>
          <w:p>
            <w:pPr>
              <w:pStyle w:val="38"/>
            </w:pPr>
            <w:r>
              <w:t>大气环境</w:t>
            </w:r>
          </w:p>
        </w:tc>
        <w:tc>
          <w:tcPr>
            <w:tcW w:w="1142" w:type="dxa"/>
            <w:tcBorders>
              <w:top w:val="single" w:color="000000" w:sz="4" w:space="0"/>
              <w:left w:val="single" w:color="000000" w:sz="4" w:space="0"/>
              <w:bottom w:val="single" w:color="000000" w:sz="4" w:space="0"/>
              <w:right w:val="single" w:color="000000" w:sz="4" w:space="0"/>
            </w:tcBorders>
            <w:vAlign w:val="center"/>
          </w:tcPr>
          <w:p>
            <w:pPr>
              <w:pStyle w:val="38"/>
              <w:rPr>
                <w:u w:val="single"/>
              </w:rPr>
            </w:pPr>
            <w:r>
              <w:rPr>
                <w:rFonts w:hint="eastAsia"/>
                <w:u w:val="single"/>
                <w:lang w:val="en-US" w:eastAsia="zh-CN"/>
              </w:rPr>
              <w:t>DA001</w:t>
            </w:r>
          </w:p>
        </w:tc>
        <w:tc>
          <w:tcPr>
            <w:tcW w:w="1579" w:type="dxa"/>
            <w:tcBorders>
              <w:top w:val="single" w:color="000000" w:sz="4" w:space="0"/>
              <w:left w:val="single" w:color="000000" w:sz="4" w:space="0"/>
              <w:bottom w:val="single" w:color="000000" w:sz="4" w:space="0"/>
              <w:right w:val="single" w:color="000000" w:sz="4" w:space="0"/>
            </w:tcBorders>
            <w:vAlign w:val="center"/>
          </w:tcPr>
          <w:p>
            <w:pPr>
              <w:pStyle w:val="38"/>
              <w:rPr>
                <w:rFonts w:hint="eastAsia" w:eastAsia="宋体"/>
                <w:u w:val="single"/>
                <w:lang w:eastAsia="zh-CN"/>
              </w:rPr>
            </w:pPr>
            <w:r>
              <w:rPr>
                <w:rFonts w:hint="eastAsia"/>
                <w:u w:val="single"/>
              </w:rPr>
              <w:t>颗粒物</w:t>
            </w:r>
            <w:r>
              <w:rPr>
                <w:rFonts w:hint="eastAsia"/>
                <w:u w:val="single"/>
                <w:lang w:eastAsia="zh-CN"/>
              </w:rPr>
              <w:t>、氨气、臭气浓度、硫化氢</w:t>
            </w:r>
          </w:p>
        </w:tc>
        <w:tc>
          <w:tcPr>
            <w:tcW w:w="1712" w:type="dxa"/>
            <w:tcBorders>
              <w:top w:val="single" w:color="000000" w:sz="4" w:space="0"/>
              <w:left w:val="single" w:color="000000" w:sz="4" w:space="0"/>
              <w:bottom w:val="single" w:color="000000" w:sz="4" w:space="0"/>
              <w:right w:val="single" w:color="000000" w:sz="4" w:space="0"/>
            </w:tcBorders>
            <w:vAlign w:val="center"/>
          </w:tcPr>
          <w:p>
            <w:pPr>
              <w:pStyle w:val="38"/>
              <w:rPr>
                <w:rFonts w:hint="default"/>
                <w:u w:val="single"/>
                <w:lang w:val="en-US"/>
              </w:rPr>
            </w:pPr>
            <w:r>
              <w:rPr>
                <w:rFonts w:hint="eastAsia" w:cs="Times New Roman"/>
                <w:sz w:val="24"/>
                <w:szCs w:val="24"/>
                <w:u w:val="single"/>
                <w:lang w:val="en-US" w:eastAsia="zh-CN"/>
              </w:rPr>
              <w:t>高效生物吸附塔+15m排气筒</w:t>
            </w:r>
          </w:p>
        </w:tc>
        <w:tc>
          <w:tcPr>
            <w:tcW w:w="2806" w:type="dxa"/>
            <w:tcBorders>
              <w:top w:val="single" w:color="000000" w:sz="4" w:space="0"/>
              <w:left w:val="single" w:color="000000" w:sz="4" w:space="0"/>
              <w:bottom w:val="single" w:color="000000" w:sz="4" w:space="0"/>
            </w:tcBorders>
            <w:vAlign w:val="center"/>
          </w:tcPr>
          <w:p>
            <w:pPr>
              <w:pStyle w:val="38"/>
              <w:jc w:val="both"/>
              <w:rPr>
                <w:rFonts w:hint="eastAsia" w:eastAsia="宋体"/>
                <w:u w:val="single"/>
                <w:lang w:eastAsia="zh-CN"/>
              </w:rPr>
            </w:pPr>
            <w:r>
              <w:rPr>
                <w:u w:val="single"/>
              </w:rPr>
              <w:t>《大气污染物综合排放标准》（GB16297-1996）</w:t>
            </w:r>
            <w:r>
              <w:rPr>
                <w:rFonts w:hint="eastAsia"/>
                <w:u w:val="single"/>
                <w:lang w:eastAsia="zh-CN"/>
              </w:rPr>
              <w:t>、《恶臭污染物排放标准》(GB14554-93)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1832" w:type="dxa"/>
            <w:gridSpan w:val="2"/>
            <w:vMerge w:val="continue"/>
            <w:tcBorders>
              <w:bottom w:val="single" w:color="000000" w:sz="4" w:space="0"/>
              <w:right w:val="single" w:color="000000" w:sz="4" w:space="0"/>
            </w:tcBorders>
            <w:vAlign w:val="center"/>
          </w:tcPr>
          <w:p>
            <w:pPr>
              <w:pStyle w:val="38"/>
            </w:pPr>
          </w:p>
        </w:tc>
        <w:tc>
          <w:tcPr>
            <w:tcW w:w="1142" w:type="dxa"/>
            <w:tcBorders>
              <w:top w:val="single" w:color="000000" w:sz="4" w:space="0"/>
              <w:left w:val="single" w:color="000000" w:sz="4" w:space="0"/>
              <w:bottom w:val="single" w:color="000000" w:sz="4" w:space="0"/>
              <w:right w:val="single" w:color="000000" w:sz="4" w:space="0"/>
            </w:tcBorders>
            <w:vAlign w:val="center"/>
          </w:tcPr>
          <w:p>
            <w:pPr>
              <w:pStyle w:val="38"/>
              <w:rPr>
                <w:rFonts w:hint="eastAsia"/>
                <w:u w:val="single"/>
                <w:lang w:val="en-US" w:eastAsia="zh-CN"/>
              </w:rPr>
            </w:pPr>
            <w:r>
              <w:rPr>
                <w:rFonts w:hint="eastAsia"/>
                <w:u w:val="single"/>
                <w:lang w:val="en-US" w:eastAsia="zh-CN"/>
              </w:rPr>
              <w:t>无组织废气</w:t>
            </w:r>
          </w:p>
        </w:tc>
        <w:tc>
          <w:tcPr>
            <w:tcW w:w="1579" w:type="dxa"/>
            <w:tcBorders>
              <w:top w:val="single" w:color="000000" w:sz="4" w:space="0"/>
              <w:left w:val="single" w:color="000000" w:sz="4" w:space="0"/>
              <w:bottom w:val="single" w:color="000000" w:sz="4" w:space="0"/>
              <w:right w:val="single" w:color="000000" w:sz="4" w:space="0"/>
            </w:tcBorders>
            <w:vAlign w:val="center"/>
          </w:tcPr>
          <w:p>
            <w:pPr>
              <w:pStyle w:val="38"/>
              <w:ind w:firstLine="0" w:firstLineChars="0"/>
              <w:rPr>
                <w:rFonts w:hint="eastAsia" w:ascii="Times New Roman" w:hAnsi="Times New Roman" w:eastAsia="宋体" w:cs="宋体"/>
                <w:sz w:val="21"/>
                <w:szCs w:val="21"/>
                <w:u w:val="single"/>
                <w:lang w:val="zh-CN" w:eastAsia="zh-CN" w:bidi="zh-CN"/>
              </w:rPr>
            </w:pPr>
            <w:r>
              <w:rPr>
                <w:rFonts w:hint="eastAsia"/>
                <w:u w:val="single"/>
              </w:rPr>
              <w:t>颗粒物</w:t>
            </w:r>
            <w:r>
              <w:rPr>
                <w:rFonts w:hint="eastAsia"/>
                <w:u w:val="single"/>
                <w:lang w:eastAsia="zh-CN"/>
              </w:rPr>
              <w:t>、氨气、臭气浓度、硫化氢</w:t>
            </w:r>
          </w:p>
        </w:tc>
        <w:tc>
          <w:tcPr>
            <w:tcW w:w="1712" w:type="dxa"/>
            <w:tcBorders>
              <w:top w:val="single" w:color="000000" w:sz="4" w:space="0"/>
              <w:left w:val="single" w:color="000000" w:sz="4" w:space="0"/>
              <w:bottom w:val="single" w:color="000000" w:sz="4" w:space="0"/>
              <w:right w:val="single" w:color="000000" w:sz="4" w:space="0"/>
            </w:tcBorders>
            <w:vAlign w:val="center"/>
          </w:tcPr>
          <w:p>
            <w:pPr>
              <w:pStyle w:val="38"/>
              <w:rPr>
                <w:rFonts w:hint="eastAsia" w:eastAsia="宋体"/>
                <w:u w:val="single"/>
                <w:lang w:eastAsia="zh-CN"/>
              </w:rPr>
            </w:pPr>
            <w:r>
              <w:rPr>
                <w:rFonts w:hint="eastAsia"/>
                <w:u w:val="single"/>
                <w:lang w:eastAsia="zh-CN"/>
              </w:rPr>
              <w:t>空间异味喷淋系统通风、绿化</w:t>
            </w:r>
          </w:p>
        </w:tc>
        <w:tc>
          <w:tcPr>
            <w:tcW w:w="2806" w:type="dxa"/>
            <w:tcBorders>
              <w:top w:val="single" w:color="000000" w:sz="4" w:space="0"/>
              <w:left w:val="single" w:color="000000" w:sz="4" w:space="0"/>
              <w:bottom w:val="single" w:color="000000" w:sz="4" w:space="0"/>
            </w:tcBorders>
            <w:vAlign w:val="center"/>
          </w:tcPr>
          <w:p>
            <w:pPr>
              <w:pStyle w:val="38"/>
              <w:jc w:val="both"/>
              <w:rPr>
                <w:rFonts w:hint="eastAsia" w:eastAsia="宋体"/>
                <w:u w:val="single"/>
                <w:lang w:eastAsia="zh-CN"/>
              </w:rPr>
            </w:pPr>
            <w:r>
              <w:rPr>
                <w:rFonts w:hint="eastAsia"/>
                <w:u w:val="single"/>
              </w:rPr>
              <w:t>《恶臭污染物排放标准》(GB14554-93)</w:t>
            </w:r>
            <w:r>
              <w:rPr>
                <w:rFonts w:hint="eastAsia"/>
                <w:u w:val="single"/>
                <w:lang w:eastAsia="zh-CN"/>
              </w:rPr>
              <w:t>、《大气污染物综合排放标准》(GB16297-1996 )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1832" w:type="dxa"/>
            <w:gridSpan w:val="2"/>
            <w:vMerge w:val="restart"/>
            <w:tcBorders>
              <w:top w:val="single" w:color="000000" w:sz="4" w:space="0"/>
              <w:right w:val="single" w:color="000000" w:sz="4" w:space="0"/>
            </w:tcBorders>
            <w:vAlign w:val="center"/>
          </w:tcPr>
          <w:p>
            <w:pPr>
              <w:pStyle w:val="38"/>
            </w:pPr>
            <w:r>
              <w:t>地表水环境</w:t>
            </w:r>
          </w:p>
        </w:tc>
        <w:tc>
          <w:tcPr>
            <w:tcW w:w="1142" w:type="dxa"/>
            <w:tcBorders>
              <w:top w:val="single" w:color="000000" w:sz="4" w:space="0"/>
              <w:left w:val="single" w:color="000000" w:sz="4" w:space="0"/>
              <w:bottom w:val="single" w:color="000000" w:sz="4" w:space="0"/>
              <w:right w:val="single" w:color="000000" w:sz="4" w:space="0"/>
            </w:tcBorders>
            <w:vAlign w:val="center"/>
          </w:tcPr>
          <w:p>
            <w:pPr>
              <w:pStyle w:val="38"/>
              <w:rPr>
                <w:u w:val="single"/>
              </w:rPr>
            </w:pPr>
            <w:r>
              <w:rPr>
                <w:rFonts w:hint="eastAsia"/>
                <w:u w:val="single"/>
              </w:rPr>
              <w:t>生活废水</w:t>
            </w:r>
          </w:p>
        </w:tc>
        <w:tc>
          <w:tcPr>
            <w:tcW w:w="1579" w:type="dxa"/>
            <w:tcBorders>
              <w:top w:val="single" w:color="000000" w:sz="4" w:space="0"/>
              <w:left w:val="single" w:color="000000" w:sz="4" w:space="0"/>
              <w:bottom w:val="single" w:color="000000" w:sz="4" w:space="0"/>
              <w:right w:val="single" w:color="000000" w:sz="4" w:space="0"/>
            </w:tcBorders>
            <w:vAlign w:val="center"/>
          </w:tcPr>
          <w:p>
            <w:pPr>
              <w:pStyle w:val="38"/>
              <w:rPr>
                <w:u w:val="single"/>
                <w:lang w:val="en-US"/>
              </w:rPr>
            </w:pPr>
            <w:r>
              <w:rPr>
                <w:u w:val="single"/>
              </w:rPr>
              <w:t>COD</w:t>
            </w:r>
            <w:r>
              <w:rPr>
                <w:rFonts w:hint="eastAsia"/>
                <w:u w:val="single"/>
              </w:rPr>
              <w:t>、</w:t>
            </w:r>
            <w:r>
              <w:rPr>
                <w:u w:val="single"/>
              </w:rPr>
              <w:t>NH</w:t>
            </w:r>
            <w:r>
              <w:rPr>
                <w:u w:val="single"/>
                <w:vertAlign w:val="subscript"/>
              </w:rPr>
              <w:t>3</w:t>
            </w:r>
            <w:r>
              <w:rPr>
                <w:u w:val="single"/>
              </w:rPr>
              <w:t>-N</w:t>
            </w:r>
            <w:r>
              <w:rPr>
                <w:rFonts w:hint="eastAsia"/>
                <w:u w:val="single"/>
              </w:rPr>
              <w:t>、</w:t>
            </w:r>
            <w:r>
              <w:rPr>
                <w:u w:val="single"/>
                <w:lang w:val="en-US"/>
              </w:rPr>
              <w:t>BOD</w:t>
            </w:r>
            <w:r>
              <w:rPr>
                <w:rFonts w:hint="eastAsia"/>
                <w:u w:val="single"/>
                <w:vertAlign w:val="subscript"/>
                <w:lang w:val="en-US" w:eastAsia="zh-CN"/>
              </w:rPr>
              <w:t>5</w:t>
            </w:r>
            <w:r>
              <w:rPr>
                <w:rFonts w:hint="eastAsia"/>
                <w:u w:val="single"/>
                <w:lang w:val="en-US"/>
              </w:rPr>
              <w:t>、</w:t>
            </w:r>
            <w:r>
              <w:rPr>
                <w:u w:val="single"/>
                <w:lang w:val="en-US"/>
              </w:rPr>
              <w:t>SS</w:t>
            </w:r>
          </w:p>
        </w:tc>
        <w:tc>
          <w:tcPr>
            <w:tcW w:w="1712" w:type="dxa"/>
            <w:tcBorders>
              <w:top w:val="single" w:color="000000" w:sz="4" w:space="0"/>
              <w:left w:val="single" w:color="000000" w:sz="4" w:space="0"/>
              <w:bottom w:val="single" w:color="000000" w:sz="4" w:space="0"/>
              <w:right w:val="single" w:color="000000" w:sz="4" w:space="0"/>
            </w:tcBorders>
            <w:vAlign w:val="center"/>
          </w:tcPr>
          <w:p>
            <w:pPr>
              <w:pStyle w:val="38"/>
              <w:rPr>
                <w:u w:val="single"/>
              </w:rPr>
            </w:pPr>
            <w:r>
              <w:rPr>
                <w:rFonts w:hint="eastAsia"/>
                <w:u w:val="single"/>
              </w:rPr>
              <w:t>化粪池</w:t>
            </w:r>
          </w:p>
        </w:tc>
        <w:tc>
          <w:tcPr>
            <w:tcW w:w="2806" w:type="dxa"/>
            <w:tcBorders>
              <w:top w:val="single" w:color="000000" w:sz="4" w:space="0"/>
              <w:left w:val="single" w:color="000000" w:sz="4" w:space="0"/>
              <w:bottom w:val="single" w:color="000000" w:sz="4" w:space="0"/>
            </w:tcBorders>
            <w:vAlign w:val="center"/>
          </w:tcPr>
          <w:p>
            <w:pPr>
              <w:pStyle w:val="38"/>
              <w:jc w:val="both"/>
              <w:rPr>
                <w:rFonts w:hint="eastAsia" w:eastAsia="宋体"/>
                <w:u w:val="single"/>
                <w:lang w:eastAsia="zh-CN"/>
              </w:rPr>
            </w:pPr>
            <w:r>
              <w:rPr>
                <w:rFonts w:hint="eastAsia"/>
                <w:u w:val="single"/>
                <w:lang w:eastAsia="zh-CN"/>
              </w:rPr>
              <w:t>定期清掏做农肥，不外排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1832" w:type="dxa"/>
            <w:gridSpan w:val="2"/>
            <w:vMerge w:val="continue"/>
            <w:tcBorders>
              <w:right w:val="single" w:color="000000" w:sz="4" w:space="0"/>
            </w:tcBorders>
            <w:vAlign w:val="center"/>
          </w:tcPr>
          <w:p>
            <w:pPr>
              <w:pStyle w:val="38"/>
            </w:pPr>
          </w:p>
        </w:tc>
        <w:tc>
          <w:tcPr>
            <w:tcW w:w="1142" w:type="dxa"/>
            <w:tcBorders>
              <w:top w:val="single" w:color="000000" w:sz="4" w:space="0"/>
              <w:left w:val="single" w:color="000000" w:sz="4" w:space="0"/>
              <w:bottom w:val="single" w:color="000000" w:sz="4" w:space="0"/>
              <w:right w:val="single" w:color="000000" w:sz="4" w:space="0"/>
            </w:tcBorders>
            <w:vAlign w:val="center"/>
          </w:tcPr>
          <w:p>
            <w:pPr>
              <w:pStyle w:val="38"/>
              <w:rPr>
                <w:rFonts w:hint="eastAsia" w:eastAsia="宋体"/>
                <w:u w:val="single"/>
                <w:lang w:eastAsia="zh-CN"/>
              </w:rPr>
            </w:pPr>
            <w:r>
              <w:rPr>
                <w:rFonts w:hint="eastAsia"/>
                <w:u w:val="single"/>
                <w:lang w:eastAsia="zh-CN"/>
              </w:rPr>
              <w:t>生产废水</w:t>
            </w:r>
          </w:p>
        </w:tc>
        <w:tc>
          <w:tcPr>
            <w:tcW w:w="1579" w:type="dxa"/>
            <w:tcBorders>
              <w:top w:val="single" w:color="000000" w:sz="4" w:space="0"/>
              <w:left w:val="single" w:color="000000" w:sz="4" w:space="0"/>
              <w:bottom w:val="single" w:color="000000" w:sz="4" w:space="0"/>
              <w:right w:val="single" w:color="000000" w:sz="4" w:space="0"/>
            </w:tcBorders>
            <w:vAlign w:val="center"/>
          </w:tcPr>
          <w:p>
            <w:pPr>
              <w:pStyle w:val="38"/>
              <w:rPr>
                <w:u w:val="single"/>
              </w:rPr>
            </w:pPr>
            <w:r>
              <w:rPr>
                <w:u w:val="single"/>
              </w:rPr>
              <w:t>COD</w:t>
            </w:r>
            <w:r>
              <w:rPr>
                <w:rFonts w:hint="eastAsia"/>
                <w:u w:val="single"/>
              </w:rPr>
              <w:t>、</w:t>
            </w:r>
            <w:r>
              <w:rPr>
                <w:u w:val="single"/>
              </w:rPr>
              <w:t>NH</w:t>
            </w:r>
            <w:r>
              <w:rPr>
                <w:u w:val="single"/>
                <w:vertAlign w:val="subscript"/>
              </w:rPr>
              <w:t>3</w:t>
            </w:r>
            <w:r>
              <w:rPr>
                <w:u w:val="single"/>
              </w:rPr>
              <w:t>-N</w:t>
            </w:r>
            <w:r>
              <w:rPr>
                <w:rFonts w:hint="eastAsia"/>
                <w:u w:val="single"/>
              </w:rPr>
              <w:t>、</w:t>
            </w:r>
            <w:r>
              <w:rPr>
                <w:u w:val="single"/>
                <w:lang w:val="en-US"/>
              </w:rPr>
              <w:t>BOD</w:t>
            </w:r>
            <w:r>
              <w:rPr>
                <w:rFonts w:hint="eastAsia"/>
                <w:u w:val="single"/>
                <w:vertAlign w:val="subscript"/>
                <w:lang w:val="en-US" w:eastAsia="zh-CN"/>
              </w:rPr>
              <w:t>5</w:t>
            </w:r>
            <w:r>
              <w:rPr>
                <w:rFonts w:hint="eastAsia"/>
                <w:u w:val="single"/>
                <w:lang w:val="en-US"/>
              </w:rPr>
              <w:t>、</w:t>
            </w:r>
            <w:r>
              <w:rPr>
                <w:u w:val="single"/>
                <w:lang w:val="en-US"/>
              </w:rPr>
              <w:t>SS</w:t>
            </w:r>
          </w:p>
        </w:tc>
        <w:tc>
          <w:tcPr>
            <w:tcW w:w="1712" w:type="dxa"/>
            <w:tcBorders>
              <w:top w:val="single" w:color="000000" w:sz="4" w:space="0"/>
              <w:left w:val="single" w:color="000000" w:sz="4" w:space="0"/>
              <w:bottom w:val="single" w:color="000000" w:sz="4" w:space="0"/>
              <w:right w:val="single" w:color="000000" w:sz="4" w:space="0"/>
            </w:tcBorders>
            <w:vAlign w:val="center"/>
          </w:tcPr>
          <w:p>
            <w:pPr>
              <w:pStyle w:val="38"/>
              <w:rPr>
                <w:rFonts w:hint="default" w:eastAsia="宋体"/>
                <w:u w:val="single"/>
                <w:lang w:val="en-US" w:eastAsia="zh-CN"/>
              </w:rPr>
            </w:pPr>
            <w:r>
              <w:rPr>
                <w:rFonts w:hint="eastAsia"/>
                <w:u w:val="single"/>
                <w:lang w:val="en-US" w:eastAsia="zh-CN"/>
              </w:rPr>
              <w:t>渗滤液收集池</w:t>
            </w:r>
          </w:p>
        </w:tc>
        <w:tc>
          <w:tcPr>
            <w:tcW w:w="2806" w:type="dxa"/>
            <w:tcBorders>
              <w:top w:val="single" w:color="000000" w:sz="4" w:space="0"/>
              <w:left w:val="single" w:color="000000" w:sz="4" w:space="0"/>
              <w:bottom w:val="single" w:color="000000" w:sz="4" w:space="0"/>
            </w:tcBorders>
            <w:vAlign w:val="center"/>
          </w:tcPr>
          <w:p>
            <w:pPr>
              <w:pStyle w:val="38"/>
              <w:jc w:val="both"/>
              <w:rPr>
                <w:rFonts w:hint="default" w:eastAsia="宋体"/>
                <w:u w:val="single"/>
                <w:lang w:val="en-US" w:eastAsia="zh-CN"/>
              </w:rPr>
            </w:pPr>
            <w:r>
              <w:rPr>
                <w:rFonts w:hint="eastAsia" w:eastAsia="宋体"/>
                <w:u w:val="single"/>
                <w:lang w:val="en-US" w:eastAsia="zh-CN"/>
              </w:rPr>
              <w:t>《生活垃圾填埋污染控制标准》(GB16889-</w:t>
            </w:r>
            <w:r>
              <w:rPr>
                <w:rFonts w:hint="eastAsia"/>
                <w:u w:val="single"/>
                <w:lang w:val="en-US" w:eastAsia="zh-CN"/>
              </w:rPr>
              <w:t>2008</w:t>
            </w:r>
            <w:r>
              <w:rPr>
                <w:rFonts w:hint="eastAsia" w:eastAsia="宋体"/>
                <w:u w:val="single"/>
                <w:lang w:val="en-US" w:eastAsia="zh-CN"/>
              </w:rPr>
              <w:t>)</w:t>
            </w:r>
            <w:r>
              <w:rPr>
                <w:rFonts w:hint="eastAsia"/>
                <w:u w:val="single"/>
                <w:lang w:val="en-US" w:eastAsia="zh-CN"/>
              </w:rPr>
              <w:t>表2标准</w:t>
            </w:r>
            <w:r>
              <w:rPr>
                <w:rFonts w:cs="Times New Roman"/>
                <w:szCs w:val="24"/>
                <w:u w:val="single"/>
              </w:rPr>
              <w:t>《城镇污水处理厂污水排放标准》（GB18918-2002）及其修改单中一级</w:t>
            </w:r>
            <w:r>
              <w:rPr>
                <w:rFonts w:cs="Times New Roman"/>
                <w:szCs w:val="24"/>
                <w:u w:val="single"/>
                <w:lang w:val="en-US"/>
              </w:rPr>
              <w:t>A</w:t>
            </w:r>
            <w:r>
              <w:rPr>
                <w:rFonts w:cs="Times New Roman"/>
                <w:szCs w:val="24"/>
                <w:u w:val="single"/>
              </w:rPr>
              <w:t>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1832" w:type="dxa"/>
            <w:gridSpan w:val="2"/>
            <w:vMerge w:val="continue"/>
            <w:tcBorders>
              <w:bottom w:val="single" w:color="000000" w:sz="4" w:space="0"/>
              <w:right w:val="single" w:color="000000" w:sz="4" w:space="0"/>
            </w:tcBorders>
            <w:vAlign w:val="center"/>
          </w:tcPr>
          <w:p>
            <w:pPr>
              <w:pStyle w:val="38"/>
            </w:pPr>
          </w:p>
        </w:tc>
        <w:tc>
          <w:tcPr>
            <w:tcW w:w="1142" w:type="dxa"/>
            <w:tcBorders>
              <w:top w:val="single" w:color="000000" w:sz="4" w:space="0"/>
              <w:left w:val="single" w:color="000000" w:sz="4" w:space="0"/>
              <w:bottom w:val="single" w:color="000000" w:sz="4" w:space="0"/>
              <w:right w:val="single" w:color="000000" w:sz="4" w:space="0"/>
            </w:tcBorders>
            <w:vAlign w:val="center"/>
          </w:tcPr>
          <w:p>
            <w:pPr>
              <w:pStyle w:val="38"/>
              <w:rPr>
                <w:rFonts w:hint="eastAsia"/>
                <w:u w:val="single"/>
                <w:lang w:eastAsia="zh-CN"/>
              </w:rPr>
            </w:pPr>
            <w:r>
              <w:rPr>
                <w:rFonts w:hint="eastAsia"/>
                <w:u w:val="single"/>
                <w:lang w:eastAsia="zh-CN"/>
              </w:rPr>
              <w:t>初期雨水</w:t>
            </w:r>
          </w:p>
        </w:tc>
        <w:tc>
          <w:tcPr>
            <w:tcW w:w="1579" w:type="dxa"/>
            <w:tcBorders>
              <w:top w:val="single" w:color="000000" w:sz="4" w:space="0"/>
              <w:left w:val="single" w:color="000000" w:sz="4" w:space="0"/>
              <w:bottom w:val="single" w:color="000000" w:sz="4" w:space="0"/>
              <w:right w:val="single" w:color="000000" w:sz="4" w:space="0"/>
            </w:tcBorders>
            <w:vAlign w:val="center"/>
          </w:tcPr>
          <w:p>
            <w:pPr>
              <w:pStyle w:val="38"/>
              <w:rPr>
                <w:rFonts w:hint="default" w:eastAsia="宋体"/>
                <w:u w:val="single"/>
                <w:lang w:val="en-US" w:eastAsia="zh-CN"/>
              </w:rPr>
            </w:pPr>
            <w:r>
              <w:rPr>
                <w:rFonts w:hint="eastAsia"/>
                <w:u w:val="single"/>
                <w:lang w:val="en-US" w:eastAsia="zh-CN"/>
              </w:rPr>
              <w:t>SS</w:t>
            </w:r>
          </w:p>
        </w:tc>
        <w:tc>
          <w:tcPr>
            <w:tcW w:w="1712" w:type="dxa"/>
            <w:tcBorders>
              <w:top w:val="single" w:color="000000" w:sz="4" w:space="0"/>
              <w:left w:val="single" w:color="000000" w:sz="4" w:space="0"/>
              <w:bottom w:val="single" w:color="000000" w:sz="4" w:space="0"/>
              <w:right w:val="single" w:color="000000" w:sz="4" w:space="0"/>
            </w:tcBorders>
            <w:vAlign w:val="center"/>
          </w:tcPr>
          <w:p>
            <w:pPr>
              <w:pStyle w:val="38"/>
              <w:rPr>
                <w:rFonts w:hint="eastAsia"/>
                <w:u w:val="single"/>
                <w:lang w:val="en-US" w:eastAsia="zh-CN"/>
              </w:rPr>
            </w:pPr>
            <w:r>
              <w:rPr>
                <w:rFonts w:hint="eastAsia"/>
                <w:u w:val="single"/>
                <w:lang w:val="en-US" w:eastAsia="zh-CN"/>
              </w:rPr>
              <w:t>初期雨水收集池</w:t>
            </w:r>
          </w:p>
        </w:tc>
        <w:tc>
          <w:tcPr>
            <w:tcW w:w="2806" w:type="dxa"/>
            <w:tcBorders>
              <w:top w:val="single" w:color="000000" w:sz="4" w:space="0"/>
              <w:left w:val="single" w:color="000000" w:sz="4" w:space="0"/>
              <w:bottom w:val="single" w:color="000000" w:sz="4" w:space="0"/>
            </w:tcBorders>
            <w:vAlign w:val="center"/>
          </w:tcPr>
          <w:p>
            <w:pPr>
              <w:pStyle w:val="38"/>
              <w:jc w:val="both"/>
              <w:rPr>
                <w:rFonts w:hint="eastAsia" w:eastAsia="宋体"/>
                <w:u w:val="single"/>
                <w:lang w:val="en-US" w:eastAsia="zh-CN"/>
              </w:rPr>
            </w:pPr>
            <w:r>
              <w:rPr>
                <w:rFonts w:hint="eastAsia"/>
                <w:u w:val="single"/>
                <w:lang w:val="en-US" w:eastAsia="zh-CN"/>
              </w:rPr>
              <w:t>回用于场内洒水降尘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1832" w:type="dxa"/>
            <w:gridSpan w:val="2"/>
            <w:tcBorders>
              <w:top w:val="single" w:color="000000" w:sz="4" w:space="0"/>
              <w:bottom w:val="single" w:color="000000" w:sz="4" w:space="0"/>
              <w:right w:val="single" w:color="000000" w:sz="4" w:space="0"/>
            </w:tcBorders>
            <w:vAlign w:val="center"/>
          </w:tcPr>
          <w:p>
            <w:pPr>
              <w:pStyle w:val="38"/>
            </w:pPr>
            <w:r>
              <w:t>声环境</w:t>
            </w:r>
          </w:p>
        </w:tc>
        <w:tc>
          <w:tcPr>
            <w:tcW w:w="1142" w:type="dxa"/>
            <w:tcBorders>
              <w:top w:val="single" w:color="000000" w:sz="4" w:space="0"/>
              <w:left w:val="single" w:color="000000" w:sz="4" w:space="0"/>
              <w:bottom w:val="single" w:color="000000" w:sz="4" w:space="0"/>
              <w:right w:val="single" w:color="000000" w:sz="4" w:space="0"/>
            </w:tcBorders>
            <w:vAlign w:val="center"/>
          </w:tcPr>
          <w:p>
            <w:pPr>
              <w:pStyle w:val="38"/>
              <w:rPr>
                <w:u w:val="single"/>
              </w:rPr>
            </w:pPr>
            <w:r>
              <w:rPr>
                <w:rFonts w:hint="eastAsia"/>
                <w:u w:val="single"/>
              </w:rPr>
              <w:t>设备噪声</w:t>
            </w:r>
          </w:p>
        </w:tc>
        <w:tc>
          <w:tcPr>
            <w:tcW w:w="1579" w:type="dxa"/>
            <w:tcBorders>
              <w:top w:val="single" w:color="000000" w:sz="4" w:space="0"/>
              <w:left w:val="single" w:color="000000" w:sz="4" w:space="0"/>
              <w:bottom w:val="single" w:color="000000" w:sz="4" w:space="0"/>
              <w:right w:val="single" w:color="000000" w:sz="4" w:space="0"/>
            </w:tcBorders>
            <w:vAlign w:val="center"/>
          </w:tcPr>
          <w:p>
            <w:pPr>
              <w:pStyle w:val="38"/>
              <w:rPr>
                <w:u w:val="single"/>
              </w:rPr>
            </w:pPr>
            <w:r>
              <w:rPr>
                <w:rFonts w:hint="eastAsia"/>
                <w:u w:val="single"/>
              </w:rPr>
              <w:t>设备噪声</w:t>
            </w:r>
          </w:p>
        </w:tc>
        <w:tc>
          <w:tcPr>
            <w:tcW w:w="1712" w:type="dxa"/>
            <w:tcBorders>
              <w:top w:val="single" w:color="000000" w:sz="4" w:space="0"/>
              <w:left w:val="single" w:color="000000" w:sz="4" w:space="0"/>
              <w:bottom w:val="single" w:color="000000" w:sz="4" w:space="0"/>
              <w:right w:val="single" w:color="000000" w:sz="4" w:space="0"/>
            </w:tcBorders>
            <w:vAlign w:val="center"/>
          </w:tcPr>
          <w:p>
            <w:pPr>
              <w:pStyle w:val="38"/>
              <w:jc w:val="both"/>
              <w:rPr>
                <w:u w:val="single"/>
              </w:rPr>
            </w:pPr>
            <w:r>
              <w:rPr>
                <w:u w:val="single"/>
              </w:rPr>
              <w:t>选用先进的、噪声地设备、减震措施、绿化隔离、隔音设备、警示标志</w:t>
            </w:r>
          </w:p>
        </w:tc>
        <w:tc>
          <w:tcPr>
            <w:tcW w:w="2806" w:type="dxa"/>
            <w:tcBorders>
              <w:top w:val="single" w:color="000000" w:sz="4" w:space="0"/>
              <w:left w:val="single" w:color="000000" w:sz="4" w:space="0"/>
              <w:bottom w:val="single" w:color="000000" w:sz="4" w:space="0"/>
            </w:tcBorders>
            <w:vAlign w:val="center"/>
          </w:tcPr>
          <w:p>
            <w:pPr>
              <w:pStyle w:val="38"/>
              <w:jc w:val="both"/>
              <w:rPr>
                <w:u w:val="single"/>
              </w:rPr>
            </w:pPr>
            <w:r>
              <w:rPr>
                <w:rFonts w:hint="eastAsia"/>
                <w:u w:val="single"/>
              </w:rPr>
              <w:t>《工业企业厂界环境噪声排放标准》(GB12348-2008)中的</w:t>
            </w:r>
            <w:r>
              <w:rPr>
                <w:rFonts w:hint="eastAsia"/>
                <w:u w:val="single"/>
                <w:lang w:val="en-US" w:eastAsia="zh-CN"/>
              </w:rPr>
              <w:t>2</w:t>
            </w:r>
            <w:r>
              <w:rPr>
                <w:rFonts w:hint="eastAsia"/>
                <w:u w:val="single"/>
              </w:rPr>
              <w:t>类</w:t>
            </w:r>
            <w:r>
              <w:rPr>
                <w:rFonts w:hint="eastAsia"/>
                <w:u w:val="single"/>
                <w:lang w:eastAsia="zh-CN"/>
              </w:rPr>
              <w:t>、</w:t>
            </w:r>
            <w:r>
              <w:rPr>
                <w:rFonts w:hint="eastAsia"/>
                <w:u w:val="single"/>
                <w:lang w:val="en-US" w:eastAsia="zh-CN"/>
              </w:rPr>
              <w:t>4类</w:t>
            </w:r>
            <w:r>
              <w:rPr>
                <w:rFonts w:hint="eastAsia"/>
                <w:u w:val="single"/>
              </w:rPr>
              <w:t>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jc w:val="center"/>
        </w:trPr>
        <w:tc>
          <w:tcPr>
            <w:tcW w:w="1832" w:type="dxa"/>
            <w:gridSpan w:val="2"/>
            <w:tcBorders>
              <w:top w:val="single" w:color="000000" w:sz="4" w:space="0"/>
              <w:bottom w:val="single" w:color="000000" w:sz="4" w:space="0"/>
              <w:right w:val="single" w:color="000000" w:sz="4" w:space="0"/>
            </w:tcBorders>
            <w:vAlign w:val="center"/>
          </w:tcPr>
          <w:p>
            <w:pPr>
              <w:pStyle w:val="38"/>
            </w:pPr>
            <w:r>
              <w:t>固体废物</w:t>
            </w:r>
          </w:p>
        </w:tc>
        <w:tc>
          <w:tcPr>
            <w:tcW w:w="7239" w:type="dxa"/>
            <w:gridSpan w:val="4"/>
            <w:tcBorders>
              <w:top w:val="single" w:color="000000" w:sz="4" w:space="0"/>
              <w:left w:val="single" w:color="000000" w:sz="4" w:space="0"/>
              <w:bottom w:val="single" w:color="000000" w:sz="4" w:space="0"/>
            </w:tcBorders>
            <w:vAlign w:val="center"/>
          </w:tcPr>
          <w:p>
            <w:pPr>
              <w:pStyle w:val="38"/>
              <w:jc w:val="both"/>
              <w:rPr>
                <w:rFonts w:hint="eastAsia" w:eastAsia="宋体"/>
                <w:u w:val="single"/>
                <w:lang w:eastAsia="zh-CN"/>
              </w:rPr>
            </w:pPr>
            <w:r>
              <w:rPr>
                <w:u w:val="single"/>
                <w:lang w:val="en-US"/>
              </w:rPr>
              <w:t>固体废物主要为员工生活垃圾</w:t>
            </w:r>
            <w:r>
              <w:rPr>
                <w:rFonts w:hint="eastAsia"/>
                <w:u w:val="single"/>
                <w:lang w:val="en-US" w:eastAsia="zh-CN"/>
              </w:rPr>
              <w:t>，</w:t>
            </w:r>
            <w:r>
              <w:rPr>
                <w:rFonts w:hint="eastAsia"/>
                <w:u w:val="single"/>
                <w:lang w:val="en-US"/>
              </w:rPr>
              <w:t>生活垃圾</w:t>
            </w:r>
            <w:r>
              <w:rPr>
                <w:rFonts w:hint="default" w:ascii="Times New Roman" w:hAnsi="Times New Roman" w:cs="Times New Roman"/>
                <w:szCs w:val="22"/>
                <w:u w:val="single"/>
              </w:rPr>
              <w:t>经收集后与垃圾压缩站一起清运处理</w:t>
            </w:r>
            <w:r>
              <w:rPr>
                <w:rFonts w:hint="eastAsia"/>
                <w:u w:val="single"/>
              </w:rPr>
              <w:t>。</w:t>
            </w:r>
            <w:r>
              <w:rPr>
                <w:rFonts w:hint="eastAsia"/>
                <w:u w:val="single"/>
                <w:lang w:eastAsia="zh-CN"/>
              </w:rPr>
              <w:t>一般固废交由其他公司回收利用，危废暂存于危废暂存间，交由有资质单位处理。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6" w:hRule="atLeast"/>
          <w:jc w:val="center"/>
        </w:trPr>
        <w:tc>
          <w:tcPr>
            <w:tcW w:w="441" w:type="dxa"/>
            <w:tcBorders>
              <w:top w:val="single" w:color="000000" w:sz="4" w:space="0"/>
              <w:bottom w:val="single" w:color="000000" w:sz="4" w:space="0"/>
              <w:right w:val="single" w:color="000000" w:sz="4" w:space="0"/>
            </w:tcBorders>
            <w:vAlign w:val="center"/>
          </w:tcPr>
          <w:p>
            <w:pPr>
              <w:pStyle w:val="39"/>
              <w:rPr>
                <w:sz w:val="28"/>
                <w:szCs w:val="28"/>
              </w:rPr>
            </w:pPr>
            <w:r>
              <w:rPr>
                <w:sz w:val="28"/>
                <w:szCs w:val="28"/>
              </w:rPr>
              <w:t>土壤及地下水污染防治措施</w:t>
            </w:r>
          </w:p>
        </w:tc>
        <w:tc>
          <w:tcPr>
            <w:tcW w:w="8630" w:type="dxa"/>
            <w:gridSpan w:val="5"/>
            <w:tcBorders>
              <w:top w:val="single" w:color="000000" w:sz="4" w:space="0"/>
              <w:left w:val="single" w:color="000000" w:sz="4" w:space="0"/>
              <w:bottom w:val="single" w:color="000000" w:sz="4" w:space="0"/>
            </w:tcBorders>
            <w:vAlign w:val="center"/>
          </w:tcPr>
          <w:p>
            <w:pPr>
              <w:spacing w:line="360" w:lineRule="auto"/>
              <w:ind w:firstLine="482"/>
              <w:rPr>
                <w:rFonts w:hint="default" w:ascii="Times New Roman" w:hAnsi="Times New Roman" w:cs="Times New Roman"/>
                <w:b/>
                <w:color w:val="000000"/>
                <w:sz w:val="24"/>
              </w:rPr>
            </w:pPr>
            <w:r>
              <w:rPr>
                <w:rFonts w:hint="default" w:ascii="Times New Roman" w:hAnsi="Times New Roman" w:cs="Times New Roman"/>
                <w:b/>
                <w:color w:val="000000"/>
                <w:sz w:val="24"/>
              </w:rPr>
              <w:t>（1）源头控制措施</w:t>
            </w:r>
          </w:p>
          <w:p>
            <w:pPr>
              <w:spacing w:line="360" w:lineRule="auto"/>
              <w:ind w:firstLine="480"/>
              <w:rPr>
                <w:rFonts w:hint="default" w:ascii="Times New Roman" w:hAnsi="Times New Roman" w:cs="Times New Roman"/>
                <w:color w:val="000000"/>
                <w:sz w:val="24"/>
              </w:rPr>
            </w:pPr>
            <w:r>
              <w:rPr>
                <w:rFonts w:hint="default" w:ascii="Times New Roman" w:hAnsi="Times New Roman" w:cs="Times New Roman"/>
                <w:color w:val="000000"/>
                <w:sz w:val="24"/>
              </w:rPr>
              <w:t>①项目应根据国家现行相关规范加强环境管理，采取防止和降低污染物跑、冒、滴、漏的措施。正常生产过程中应加强巡检及时处理污染物跑、冒、滴、漏，同时应加强对防渗工程的检查，若发现防渗密封材料老化或损坏，应及时维修更换；</w:t>
            </w:r>
          </w:p>
          <w:p>
            <w:pPr>
              <w:spacing w:line="360" w:lineRule="auto"/>
              <w:ind w:firstLine="480"/>
              <w:rPr>
                <w:rFonts w:hint="default" w:ascii="Times New Roman" w:hAnsi="Times New Roman" w:cs="Times New Roman"/>
                <w:color w:val="000000"/>
                <w:sz w:val="24"/>
              </w:rPr>
            </w:pPr>
            <w:r>
              <w:rPr>
                <w:rFonts w:hint="default" w:ascii="Times New Roman" w:hAnsi="Times New Roman" w:cs="Times New Roman"/>
                <w:color w:val="000000"/>
                <w:sz w:val="24"/>
              </w:rPr>
              <w:t>②对工艺、管道、设备、污水处理构筑物采取控制措施，防止污染物的跑、冒、滴、漏，将污染物泄漏的环境风险事故降到最低限度。</w:t>
            </w:r>
          </w:p>
          <w:p>
            <w:pPr>
              <w:spacing w:line="360" w:lineRule="auto"/>
              <w:ind w:firstLine="482"/>
              <w:rPr>
                <w:rFonts w:hint="default" w:ascii="Times New Roman" w:hAnsi="Times New Roman" w:cs="Times New Roman"/>
                <w:b/>
                <w:color w:val="000000"/>
                <w:sz w:val="24"/>
              </w:rPr>
            </w:pPr>
            <w:r>
              <w:rPr>
                <w:rFonts w:hint="default" w:ascii="Times New Roman" w:hAnsi="Times New Roman" w:cs="Times New Roman"/>
                <w:b/>
                <w:color w:val="000000"/>
                <w:sz w:val="24"/>
              </w:rPr>
              <w:t>（2）分区防治措施</w:t>
            </w:r>
          </w:p>
          <w:p>
            <w:pPr>
              <w:spacing w:line="360" w:lineRule="auto"/>
              <w:ind w:firstLine="480"/>
              <w:rPr>
                <w:rFonts w:hint="default" w:ascii="Times New Roman" w:hAnsi="Times New Roman" w:cs="Times New Roman"/>
                <w:color w:val="000000"/>
                <w:sz w:val="24"/>
              </w:rPr>
            </w:pPr>
            <w:r>
              <w:rPr>
                <w:rFonts w:hint="default" w:ascii="Times New Roman" w:hAnsi="Times New Roman" w:cs="Times New Roman"/>
                <w:color w:val="000000"/>
                <w:sz w:val="24"/>
              </w:rPr>
              <w:t>根据《建设项目环境影响报告表编制技术指南（污染影响类）》</w:t>
            </w:r>
            <w:r>
              <w:rPr>
                <w:rFonts w:hint="eastAsia" w:cs="Times New Roman"/>
                <w:color w:val="000000"/>
                <w:sz w:val="24"/>
                <w:lang w:eastAsia="zh-CN"/>
              </w:rPr>
              <w:t>提出的</w:t>
            </w:r>
            <w:r>
              <w:rPr>
                <w:rFonts w:hint="default" w:ascii="Times New Roman" w:hAnsi="Times New Roman" w:cs="Times New Roman"/>
              </w:rPr>
              <w:t>分区防控要求</w:t>
            </w:r>
            <w:r>
              <w:rPr>
                <w:rFonts w:hint="default" w:ascii="Times New Roman" w:hAnsi="Times New Roman" w:cs="Times New Roman"/>
                <w:color w:val="000000"/>
                <w:sz w:val="24"/>
              </w:rPr>
              <w:t>，本次环评按污染物泄漏的途径和生产功能单元所处的位置划分为重点防渗区、一般防渗区及简单防渗区三类地下水污染防治区域：</w:t>
            </w:r>
          </w:p>
          <w:p>
            <w:pPr>
              <w:spacing w:line="360" w:lineRule="auto"/>
              <w:ind w:firstLine="480"/>
              <w:rPr>
                <w:rFonts w:hint="default" w:ascii="Times New Roman" w:hAnsi="Times New Roman" w:cs="Times New Roman"/>
                <w:color w:val="000000"/>
                <w:sz w:val="24"/>
              </w:rPr>
            </w:pPr>
            <w:r>
              <w:rPr>
                <w:rFonts w:hint="default" w:ascii="Times New Roman" w:hAnsi="Times New Roman" w:cs="Times New Roman"/>
                <w:color w:val="000000"/>
                <w:sz w:val="24"/>
              </w:rPr>
              <w:t>根据</w:t>
            </w:r>
            <w:r>
              <w:rPr>
                <w:rFonts w:hint="eastAsia" w:cs="Times New Roman"/>
                <w:color w:val="000000"/>
                <w:sz w:val="24"/>
                <w:lang w:eastAsia="zh-CN"/>
              </w:rPr>
              <w:t>项目实际建设情况，</w:t>
            </w:r>
            <w:r>
              <w:rPr>
                <w:rFonts w:hint="default" w:ascii="Times New Roman" w:hAnsi="Times New Roman" w:cs="Times New Roman"/>
                <w:color w:val="000000"/>
                <w:sz w:val="24"/>
              </w:rPr>
              <w:t>污染防渗分区如下表所示：</w:t>
            </w:r>
          </w:p>
          <w:p>
            <w:pPr>
              <w:pStyle w:val="66"/>
              <w:keepNext w:val="0"/>
              <w:keepLines w:val="0"/>
              <w:pageBreakBefore w:val="0"/>
              <w:widowControl w:val="0"/>
              <w:numPr>
                <w:ilvl w:val="0"/>
                <w:numId w:val="0"/>
              </w:numPr>
              <w:kinsoku/>
              <w:wordWrap/>
              <w:overflowPunct/>
              <w:topLinePunct w:val="0"/>
              <w:autoSpaceDE/>
              <w:autoSpaceDN/>
              <w:bidi w:val="0"/>
              <w:adjustRightInd w:val="0"/>
              <w:snapToGrid w:val="0"/>
              <w:ind w:left="0" w:leftChars="0"/>
              <w:jc w:val="center"/>
              <w:textAlignment w:val="auto"/>
              <w:rPr>
                <w:rFonts w:hint="default" w:ascii="Times New Roman" w:hAnsi="Times New Roman" w:cs="Times New Roman"/>
                <w:b/>
                <w:bCs/>
              </w:rPr>
            </w:pPr>
            <w:r>
              <w:rPr>
                <w:rFonts w:hint="default" w:ascii="Times New Roman" w:hAnsi="Times New Roman" w:cs="Times New Roman"/>
                <w:b/>
                <w:bCs/>
                <w:lang w:val="en-US" w:eastAsia="zh-CN"/>
              </w:rPr>
              <w:t>表</w:t>
            </w:r>
            <w:r>
              <w:rPr>
                <w:rFonts w:hint="eastAsia" w:cs="Times New Roman"/>
                <w:b/>
                <w:bCs/>
                <w:lang w:val="en-US" w:eastAsia="zh-CN"/>
              </w:rPr>
              <w:t>4.2-16</w:t>
            </w:r>
            <w:r>
              <w:rPr>
                <w:rFonts w:hint="default" w:ascii="Times New Roman" w:hAnsi="Times New Roman" w:cs="Times New Roman"/>
                <w:b/>
                <w:bCs/>
                <w:lang w:val="en-US" w:eastAsia="zh-CN"/>
              </w:rPr>
              <w:t xml:space="preserve"> </w:t>
            </w:r>
            <w:r>
              <w:rPr>
                <w:rFonts w:hint="default" w:ascii="Times New Roman" w:hAnsi="Times New Roman" w:cs="Times New Roman"/>
                <w:b/>
                <w:bCs/>
              </w:rPr>
              <w:t>地下水污染防渗分区参照表</w:t>
            </w:r>
          </w:p>
          <w:tbl>
            <w:tblPr>
              <w:tblStyle w:val="31"/>
              <w:tblW w:w="4923"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Layout w:type="fixed"/>
              <w:tblCellMar>
                <w:top w:w="0" w:type="dxa"/>
                <w:left w:w="108" w:type="dxa"/>
                <w:bottom w:w="0" w:type="dxa"/>
                <w:right w:w="108" w:type="dxa"/>
              </w:tblCellMar>
            </w:tblPr>
            <w:tblGrid>
              <w:gridCol w:w="1287"/>
              <w:gridCol w:w="1287"/>
              <w:gridCol w:w="1288"/>
              <w:gridCol w:w="1328"/>
              <w:gridCol w:w="1986"/>
              <w:gridCol w:w="128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457" w:hRule="atLeast"/>
                <w:jc w:val="center"/>
              </w:trPr>
              <w:tc>
                <w:tcPr>
                  <w:tcW w:w="760" w:type="pct"/>
                  <w:tcBorders>
                    <w:tl2br w:val="nil"/>
                    <w:tr2bl w:val="nil"/>
                  </w:tcBorders>
                  <w:noWrap w:val="0"/>
                  <w:vAlign w:val="center"/>
                </w:tcPr>
                <w:p>
                  <w:pPr>
                    <w:pStyle w:val="38"/>
                    <w:bidi w:val="0"/>
                    <w:rPr>
                      <w:rFonts w:hint="default" w:ascii="Times New Roman" w:hAnsi="Times New Roman" w:cs="Times New Roman"/>
                      <w:b/>
                      <w:bCs/>
                      <w:sz w:val="21"/>
                      <w:szCs w:val="21"/>
                    </w:rPr>
                  </w:pPr>
                  <w:r>
                    <w:rPr>
                      <w:rFonts w:hint="default" w:ascii="Times New Roman" w:hAnsi="Times New Roman" w:cs="Times New Roman"/>
                      <w:b/>
                      <w:bCs/>
                      <w:sz w:val="21"/>
                      <w:szCs w:val="21"/>
                    </w:rPr>
                    <w:t>防渗分区</w:t>
                  </w:r>
                </w:p>
              </w:tc>
              <w:tc>
                <w:tcPr>
                  <w:tcW w:w="760" w:type="pct"/>
                  <w:tcBorders>
                    <w:tl2br w:val="nil"/>
                    <w:tr2bl w:val="nil"/>
                  </w:tcBorders>
                  <w:noWrap w:val="0"/>
                  <w:vAlign w:val="center"/>
                </w:tcPr>
                <w:p>
                  <w:pPr>
                    <w:pStyle w:val="38"/>
                    <w:bidi w:val="0"/>
                    <w:rPr>
                      <w:rFonts w:hint="default" w:ascii="Times New Roman" w:hAnsi="Times New Roman" w:cs="Times New Roman"/>
                      <w:b/>
                      <w:bCs/>
                      <w:sz w:val="21"/>
                      <w:szCs w:val="21"/>
                    </w:rPr>
                  </w:pPr>
                  <w:r>
                    <w:rPr>
                      <w:rFonts w:hint="default" w:ascii="Times New Roman" w:hAnsi="Times New Roman" w:cs="Times New Roman"/>
                      <w:b/>
                      <w:bCs/>
                      <w:sz w:val="21"/>
                      <w:szCs w:val="21"/>
                    </w:rPr>
                    <w:t>天然包气带防污性能</w:t>
                  </w:r>
                </w:p>
              </w:tc>
              <w:tc>
                <w:tcPr>
                  <w:tcW w:w="760" w:type="pct"/>
                  <w:tcBorders>
                    <w:tl2br w:val="nil"/>
                    <w:tr2bl w:val="nil"/>
                  </w:tcBorders>
                  <w:noWrap w:val="0"/>
                  <w:vAlign w:val="center"/>
                </w:tcPr>
                <w:p>
                  <w:pPr>
                    <w:pStyle w:val="38"/>
                    <w:bidi w:val="0"/>
                    <w:rPr>
                      <w:rFonts w:hint="default" w:ascii="Times New Roman" w:hAnsi="Times New Roman" w:cs="Times New Roman"/>
                      <w:b/>
                      <w:bCs/>
                      <w:sz w:val="21"/>
                      <w:szCs w:val="21"/>
                    </w:rPr>
                  </w:pPr>
                  <w:r>
                    <w:rPr>
                      <w:rFonts w:hint="default" w:ascii="Times New Roman" w:hAnsi="Times New Roman" w:cs="Times New Roman"/>
                      <w:b/>
                      <w:bCs/>
                      <w:sz w:val="21"/>
                      <w:szCs w:val="21"/>
                    </w:rPr>
                    <w:t>污染控制难易程度</w:t>
                  </w:r>
                </w:p>
              </w:tc>
              <w:tc>
                <w:tcPr>
                  <w:tcW w:w="784" w:type="pct"/>
                  <w:tcBorders>
                    <w:tl2br w:val="nil"/>
                    <w:tr2bl w:val="nil"/>
                  </w:tcBorders>
                  <w:noWrap w:val="0"/>
                  <w:vAlign w:val="center"/>
                </w:tcPr>
                <w:p>
                  <w:pPr>
                    <w:pStyle w:val="38"/>
                    <w:bidi w:val="0"/>
                    <w:rPr>
                      <w:rFonts w:hint="default" w:ascii="Times New Roman" w:hAnsi="Times New Roman" w:cs="Times New Roman"/>
                      <w:b/>
                      <w:bCs/>
                      <w:sz w:val="21"/>
                      <w:szCs w:val="21"/>
                    </w:rPr>
                  </w:pPr>
                  <w:r>
                    <w:rPr>
                      <w:rFonts w:hint="default" w:ascii="Times New Roman" w:hAnsi="Times New Roman" w:cs="Times New Roman"/>
                      <w:b/>
                      <w:bCs/>
                      <w:sz w:val="21"/>
                      <w:szCs w:val="21"/>
                    </w:rPr>
                    <w:t>污染物类型</w:t>
                  </w:r>
                </w:p>
              </w:tc>
              <w:tc>
                <w:tcPr>
                  <w:tcW w:w="1173" w:type="pct"/>
                  <w:tcBorders>
                    <w:tl2br w:val="nil"/>
                    <w:tr2bl w:val="nil"/>
                  </w:tcBorders>
                  <w:noWrap w:val="0"/>
                  <w:vAlign w:val="center"/>
                </w:tcPr>
                <w:p>
                  <w:pPr>
                    <w:pStyle w:val="38"/>
                    <w:bidi w:val="0"/>
                    <w:rPr>
                      <w:rFonts w:hint="default" w:ascii="Times New Roman" w:hAnsi="Times New Roman" w:cs="Times New Roman"/>
                      <w:b/>
                      <w:bCs/>
                      <w:sz w:val="21"/>
                      <w:szCs w:val="21"/>
                    </w:rPr>
                  </w:pPr>
                  <w:r>
                    <w:rPr>
                      <w:rFonts w:hint="default" w:ascii="Times New Roman" w:hAnsi="Times New Roman" w:cs="Times New Roman"/>
                      <w:b/>
                      <w:bCs/>
                      <w:sz w:val="21"/>
                      <w:szCs w:val="21"/>
                    </w:rPr>
                    <w:t>防渗技术要求</w:t>
                  </w:r>
                </w:p>
              </w:tc>
              <w:tc>
                <w:tcPr>
                  <w:tcW w:w="760" w:type="pct"/>
                  <w:tcBorders>
                    <w:tl2br w:val="nil"/>
                    <w:tr2bl w:val="nil"/>
                  </w:tcBorders>
                  <w:noWrap w:val="0"/>
                  <w:vAlign w:val="center"/>
                </w:tcPr>
                <w:p>
                  <w:pPr>
                    <w:pStyle w:val="38"/>
                    <w:bidi w:val="0"/>
                    <w:rPr>
                      <w:rFonts w:hint="default" w:ascii="Times New Roman" w:hAnsi="Times New Roman" w:cs="Times New Roman"/>
                      <w:b/>
                      <w:bCs/>
                      <w:sz w:val="21"/>
                      <w:szCs w:val="21"/>
                    </w:rPr>
                  </w:pPr>
                  <w:r>
                    <w:rPr>
                      <w:rFonts w:hint="default" w:ascii="Times New Roman" w:hAnsi="Times New Roman" w:cs="Times New Roman"/>
                      <w:b/>
                      <w:bCs/>
                      <w:sz w:val="21"/>
                      <w:szCs w:val="21"/>
                    </w:rPr>
                    <w:t>本项目防渗区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334" w:hRule="atLeast"/>
                <w:jc w:val="center"/>
              </w:trPr>
              <w:tc>
                <w:tcPr>
                  <w:tcW w:w="760" w:type="pct"/>
                  <w:vMerge w:val="restart"/>
                  <w:tcBorders>
                    <w:tl2br w:val="nil"/>
                    <w:tr2bl w:val="nil"/>
                  </w:tcBorders>
                  <w:noWrap w:val="0"/>
                  <w:vAlign w:val="center"/>
                </w:tcPr>
                <w:p>
                  <w:pPr>
                    <w:pStyle w:val="38"/>
                    <w:bidi w:val="0"/>
                    <w:rPr>
                      <w:rFonts w:hint="default" w:ascii="Times New Roman" w:hAnsi="Times New Roman" w:cs="Times New Roman"/>
                      <w:sz w:val="21"/>
                      <w:szCs w:val="21"/>
                    </w:rPr>
                  </w:pPr>
                  <w:r>
                    <w:rPr>
                      <w:rFonts w:hint="default" w:ascii="Times New Roman" w:hAnsi="Times New Roman" w:cs="Times New Roman"/>
                      <w:sz w:val="21"/>
                      <w:szCs w:val="21"/>
                    </w:rPr>
                    <w:t>重点防渗区</w:t>
                  </w:r>
                </w:p>
              </w:tc>
              <w:tc>
                <w:tcPr>
                  <w:tcW w:w="760" w:type="pct"/>
                  <w:tcBorders>
                    <w:tl2br w:val="nil"/>
                    <w:tr2bl w:val="nil"/>
                  </w:tcBorders>
                  <w:noWrap w:val="0"/>
                  <w:vAlign w:val="center"/>
                </w:tcPr>
                <w:p>
                  <w:pPr>
                    <w:pStyle w:val="38"/>
                    <w:bidi w:val="0"/>
                    <w:rPr>
                      <w:rFonts w:hint="default" w:ascii="Times New Roman" w:hAnsi="Times New Roman" w:cs="Times New Roman"/>
                      <w:sz w:val="21"/>
                      <w:szCs w:val="21"/>
                    </w:rPr>
                  </w:pPr>
                  <w:r>
                    <w:rPr>
                      <w:rFonts w:hint="default" w:ascii="Times New Roman" w:hAnsi="Times New Roman" w:cs="Times New Roman"/>
                      <w:sz w:val="21"/>
                      <w:szCs w:val="21"/>
                    </w:rPr>
                    <w:t>弱</w:t>
                  </w:r>
                </w:p>
              </w:tc>
              <w:tc>
                <w:tcPr>
                  <w:tcW w:w="760" w:type="pct"/>
                  <w:tcBorders>
                    <w:tl2br w:val="nil"/>
                    <w:tr2bl w:val="nil"/>
                  </w:tcBorders>
                  <w:noWrap w:val="0"/>
                  <w:vAlign w:val="center"/>
                </w:tcPr>
                <w:p>
                  <w:pPr>
                    <w:pStyle w:val="38"/>
                    <w:bidi w:val="0"/>
                    <w:rPr>
                      <w:rFonts w:hint="default" w:ascii="Times New Roman" w:hAnsi="Times New Roman" w:cs="Times New Roman"/>
                      <w:sz w:val="21"/>
                      <w:szCs w:val="21"/>
                    </w:rPr>
                  </w:pPr>
                  <w:r>
                    <w:rPr>
                      <w:rFonts w:hint="default" w:ascii="Times New Roman" w:hAnsi="Times New Roman" w:cs="Times New Roman"/>
                      <w:sz w:val="21"/>
                      <w:szCs w:val="21"/>
                    </w:rPr>
                    <w:t>难</w:t>
                  </w:r>
                </w:p>
              </w:tc>
              <w:tc>
                <w:tcPr>
                  <w:tcW w:w="784" w:type="pct"/>
                  <w:vMerge w:val="restart"/>
                  <w:tcBorders>
                    <w:tl2br w:val="nil"/>
                    <w:tr2bl w:val="nil"/>
                  </w:tcBorders>
                  <w:noWrap w:val="0"/>
                  <w:vAlign w:val="center"/>
                </w:tcPr>
                <w:p>
                  <w:pPr>
                    <w:pStyle w:val="38"/>
                    <w:bidi w:val="0"/>
                    <w:rPr>
                      <w:rFonts w:hint="default" w:ascii="Times New Roman" w:hAnsi="Times New Roman" w:cs="Times New Roman"/>
                      <w:sz w:val="21"/>
                      <w:szCs w:val="21"/>
                    </w:rPr>
                  </w:pPr>
                  <w:r>
                    <w:rPr>
                      <w:rFonts w:hint="default" w:ascii="Times New Roman" w:hAnsi="Times New Roman" w:cs="Times New Roman"/>
                      <w:sz w:val="21"/>
                      <w:szCs w:val="21"/>
                    </w:rPr>
                    <w:t>重金属、持久性有机物污染物</w:t>
                  </w:r>
                </w:p>
              </w:tc>
              <w:tc>
                <w:tcPr>
                  <w:tcW w:w="1173" w:type="pct"/>
                  <w:vMerge w:val="restart"/>
                  <w:tcBorders>
                    <w:tl2br w:val="nil"/>
                    <w:tr2bl w:val="nil"/>
                  </w:tcBorders>
                  <w:noWrap w:val="0"/>
                  <w:vAlign w:val="center"/>
                </w:tcPr>
                <w:p>
                  <w:pPr>
                    <w:pStyle w:val="38"/>
                    <w:bidi w:val="0"/>
                    <w:rPr>
                      <w:rFonts w:hint="default" w:ascii="Times New Roman" w:hAnsi="Times New Roman" w:cs="Times New Roman"/>
                      <w:sz w:val="21"/>
                      <w:szCs w:val="21"/>
                    </w:rPr>
                  </w:pPr>
                  <w:r>
                    <w:rPr>
                      <w:rFonts w:hint="default" w:ascii="Times New Roman" w:hAnsi="Times New Roman" w:cs="Times New Roman"/>
                      <w:sz w:val="21"/>
                      <w:szCs w:val="21"/>
                    </w:rPr>
                    <w:t>等效黏土防渗层Mb≥6.0m，k≤1×10</w:t>
                  </w:r>
                  <w:r>
                    <w:rPr>
                      <w:rFonts w:hint="default" w:ascii="Times New Roman" w:hAnsi="Times New Roman" w:cs="Times New Roman"/>
                      <w:sz w:val="21"/>
                      <w:szCs w:val="21"/>
                      <w:vertAlign w:val="superscript"/>
                    </w:rPr>
                    <w:t>-7</w:t>
                  </w:r>
                  <w:r>
                    <w:rPr>
                      <w:rFonts w:hint="default" w:ascii="Times New Roman" w:hAnsi="Times New Roman" w:cs="Times New Roman"/>
                      <w:sz w:val="21"/>
                      <w:szCs w:val="21"/>
                    </w:rPr>
                    <w:t>cm/s；或参照GB18598执行</w:t>
                  </w:r>
                </w:p>
              </w:tc>
              <w:tc>
                <w:tcPr>
                  <w:tcW w:w="760" w:type="pct"/>
                  <w:vMerge w:val="restart"/>
                  <w:tcBorders>
                    <w:tl2br w:val="nil"/>
                    <w:tr2bl w:val="nil"/>
                  </w:tcBorders>
                  <w:noWrap w:val="0"/>
                  <w:vAlign w:val="center"/>
                </w:tcPr>
                <w:p>
                  <w:pPr>
                    <w:pStyle w:val="38"/>
                    <w:bidi w:val="0"/>
                    <w:rPr>
                      <w:rFonts w:hint="default" w:ascii="Times New Roman" w:hAnsi="Times New Roman" w:eastAsia="宋体" w:cs="Times New Roman"/>
                      <w:sz w:val="21"/>
                      <w:szCs w:val="21"/>
                      <w:lang w:val="en-US" w:eastAsia="zh-CN"/>
                    </w:rPr>
                  </w:pPr>
                  <w:r>
                    <w:rPr>
                      <w:rFonts w:hint="eastAsia" w:cs="Times New Roman"/>
                      <w:sz w:val="21"/>
                      <w:szCs w:val="21"/>
                      <w:lang w:eastAsia="zh-CN"/>
                    </w:rPr>
                    <w:t>卸料大厅、压装车间、转运坪、自动洗车间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334" w:hRule="atLeast"/>
                <w:jc w:val="center"/>
              </w:trPr>
              <w:tc>
                <w:tcPr>
                  <w:tcW w:w="760" w:type="pct"/>
                  <w:vMerge w:val="continue"/>
                  <w:tcBorders>
                    <w:tl2br w:val="nil"/>
                    <w:tr2bl w:val="nil"/>
                  </w:tcBorders>
                  <w:noWrap w:val="0"/>
                  <w:vAlign w:val="center"/>
                </w:tcPr>
                <w:p>
                  <w:pPr>
                    <w:pStyle w:val="38"/>
                    <w:bidi w:val="0"/>
                    <w:rPr>
                      <w:rFonts w:hint="default" w:ascii="Times New Roman" w:hAnsi="Times New Roman" w:cs="Times New Roman"/>
                      <w:sz w:val="21"/>
                      <w:szCs w:val="21"/>
                    </w:rPr>
                  </w:pPr>
                </w:p>
              </w:tc>
              <w:tc>
                <w:tcPr>
                  <w:tcW w:w="760" w:type="pct"/>
                  <w:tcBorders>
                    <w:tl2br w:val="nil"/>
                    <w:tr2bl w:val="nil"/>
                  </w:tcBorders>
                  <w:noWrap w:val="0"/>
                  <w:vAlign w:val="center"/>
                </w:tcPr>
                <w:p>
                  <w:pPr>
                    <w:pStyle w:val="38"/>
                    <w:bidi w:val="0"/>
                    <w:rPr>
                      <w:rFonts w:hint="default" w:ascii="Times New Roman" w:hAnsi="Times New Roman" w:cs="Times New Roman"/>
                      <w:sz w:val="21"/>
                      <w:szCs w:val="21"/>
                    </w:rPr>
                  </w:pPr>
                  <w:r>
                    <w:rPr>
                      <w:rFonts w:hint="default" w:ascii="Times New Roman" w:hAnsi="Times New Roman" w:cs="Times New Roman"/>
                      <w:sz w:val="21"/>
                      <w:szCs w:val="21"/>
                    </w:rPr>
                    <w:t>中-强</w:t>
                  </w:r>
                </w:p>
              </w:tc>
              <w:tc>
                <w:tcPr>
                  <w:tcW w:w="760" w:type="pct"/>
                  <w:tcBorders>
                    <w:tl2br w:val="nil"/>
                    <w:tr2bl w:val="nil"/>
                  </w:tcBorders>
                  <w:noWrap w:val="0"/>
                  <w:vAlign w:val="center"/>
                </w:tcPr>
                <w:p>
                  <w:pPr>
                    <w:pStyle w:val="38"/>
                    <w:bidi w:val="0"/>
                    <w:rPr>
                      <w:rFonts w:hint="default" w:ascii="Times New Roman" w:hAnsi="Times New Roman" w:cs="Times New Roman"/>
                      <w:sz w:val="21"/>
                      <w:szCs w:val="21"/>
                    </w:rPr>
                  </w:pPr>
                  <w:r>
                    <w:rPr>
                      <w:rFonts w:hint="default" w:ascii="Times New Roman" w:hAnsi="Times New Roman" w:cs="Times New Roman"/>
                      <w:sz w:val="21"/>
                      <w:szCs w:val="21"/>
                    </w:rPr>
                    <w:t>难</w:t>
                  </w:r>
                </w:p>
              </w:tc>
              <w:tc>
                <w:tcPr>
                  <w:tcW w:w="784" w:type="pct"/>
                  <w:vMerge w:val="continue"/>
                  <w:tcBorders>
                    <w:tl2br w:val="nil"/>
                    <w:tr2bl w:val="nil"/>
                  </w:tcBorders>
                  <w:noWrap w:val="0"/>
                  <w:vAlign w:val="center"/>
                </w:tcPr>
                <w:p>
                  <w:pPr>
                    <w:pStyle w:val="38"/>
                    <w:bidi w:val="0"/>
                    <w:rPr>
                      <w:rFonts w:hint="default" w:ascii="Times New Roman" w:hAnsi="Times New Roman" w:cs="Times New Roman"/>
                      <w:sz w:val="21"/>
                      <w:szCs w:val="21"/>
                    </w:rPr>
                  </w:pPr>
                </w:p>
              </w:tc>
              <w:tc>
                <w:tcPr>
                  <w:tcW w:w="1173" w:type="pct"/>
                  <w:vMerge w:val="continue"/>
                  <w:tcBorders>
                    <w:tl2br w:val="nil"/>
                    <w:tr2bl w:val="nil"/>
                  </w:tcBorders>
                  <w:noWrap w:val="0"/>
                  <w:vAlign w:val="center"/>
                </w:tcPr>
                <w:p>
                  <w:pPr>
                    <w:pStyle w:val="38"/>
                    <w:bidi w:val="0"/>
                    <w:rPr>
                      <w:rFonts w:hint="default" w:ascii="Times New Roman" w:hAnsi="Times New Roman" w:cs="Times New Roman"/>
                      <w:sz w:val="21"/>
                      <w:szCs w:val="21"/>
                    </w:rPr>
                  </w:pPr>
                </w:p>
              </w:tc>
              <w:tc>
                <w:tcPr>
                  <w:tcW w:w="760" w:type="pct"/>
                  <w:vMerge w:val="continue"/>
                  <w:tcBorders>
                    <w:tl2br w:val="nil"/>
                    <w:tr2bl w:val="nil"/>
                  </w:tcBorders>
                  <w:noWrap w:val="0"/>
                  <w:vAlign w:val="center"/>
                </w:tcPr>
                <w:p>
                  <w:pPr>
                    <w:pStyle w:val="38"/>
                    <w:bidi w:val="0"/>
                    <w:rPr>
                      <w:rFonts w:hint="default" w:ascii="Times New Roman" w:hAnsi="Times New Roman"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334" w:hRule="atLeast"/>
                <w:jc w:val="center"/>
              </w:trPr>
              <w:tc>
                <w:tcPr>
                  <w:tcW w:w="760" w:type="pct"/>
                  <w:vMerge w:val="continue"/>
                  <w:tcBorders>
                    <w:tl2br w:val="nil"/>
                    <w:tr2bl w:val="nil"/>
                  </w:tcBorders>
                  <w:noWrap w:val="0"/>
                  <w:vAlign w:val="center"/>
                </w:tcPr>
                <w:p>
                  <w:pPr>
                    <w:pStyle w:val="38"/>
                    <w:bidi w:val="0"/>
                    <w:rPr>
                      <w:rFonts w:hint="default" w:ascii="Times New Roman" w:hAnsi="Times New Roman" w:cs="Times New Roman"/>
                      <w:sz w:val="21"/>
                      <w:szCs w:val="21"/>
                    </w:rPr>
                  </w:pPr>
                </w:p>
              </w:tc>
              <w:tc>
                <w:tcPr>
                  <w:tcW w:w="760" w:type="pct"/>
                  <w:tcBorders>
                    <w:tl2br w:val="nil"/>
                    <w:tr2bl w:val="nil"/>
                  </w:tcBorders>
                  <w:noWrap w:val="0"/>
                  <w:vAlign w:val="center"/>
                </w:tcPr>
                <w:p>
                  <w:pPr>
                    <w:pStyle w:val="38"/>
                    <w:bidi w:val="0"/>
                    <w:rPr>
                      <w:rFonts w:hint="default" w:ascii="Times New Roman" w:hAnsi="Times New Roman" w:cs="Times New Roman"/>
                      <w:sz w:val="21"/>
                      <w:szCs w:val="21"/>
                    </w:rPr>
                  </w:pPr>
                  <w:r>
                    <w:rPr>
                      <w:rFonts w:hint="default" w:ascii="Times New Roman" w:hAnsi="Times New Roman" w:cs="Times New Roman"/>
                      <w:sz w:val="21"/>
                      <w:szCs w:val="21"/>
                    </w:rPr>
                    <w:t>弱</w:t>
                  </w:r>
                </w:p>
              </w:tc>
              <w:tc>
                <w:tcPr>
                  <w:tcW w:w="760" w:type="pct"/>
                  <w:tcBorders>
                    <w:tl2br w:val="nil"/>
                    <w:tr2bl w:val="nil"/>
                  </w:tcBorders>
                  <w:noWrap w:val="0"/>
                  <w:vAlign w:val="center"/>
                </w:tcPr>
                <w:p>
                  <w:pPr>
                    <w:pStyle w:val="38"/>
                    <w:bidi w:val="0"/>
                    <w:rPr>
                      <w:rFonts w:hint="default" w:ascii="Times New Roman" w:hAnsi="Times New Roman" w:cs="Times New Roman"/>
                      <w:sz w:val="21"/>
                      <w:szCs w:val="21"/>
                    </w:rPr>
                  </w:pPr>
                  <w:r>
                    <w:rPr>
                      <w:rFonts w:hint="default" w:ascii="Times New Roman" w:hAnsi="Times New Roman" w:cs="Times New Roman"/>
                      <w:sz w:val="21"/>
                      <w:szCs w:val="21"/>
                    </w:rPr>
                    <w:t>易</w:t>
                  </w:r>
                </w:p>
              </w:tc>
              <w:tc>
                <w:tcPr>
                  <w:tcW w:w="784" w:type="pct"/>
                  <w:vMerge w:val="continue"/>
                  <w:tcBorders>
                    <w:tl2br w:val="nil"/>
                    <w:tr2bl w:val="nil"/>
                  </w:tcBorders>
                  <w:noWrap w:val="0"/>
                  <w:vAlign w:val="center"/>
                </w:tcPr>
                <w:p>
                  <w:pPr>
                    <w:pStyle w:val="38"/>
                    <w:bidi w:val="0"/>
                    <w:rPr>
                      <w:rFonts w:hint="default" w:ascii="Times New Roman" w:hAnsi="Times New Roman" w:cs="Times New Roman"/>
                      <w:sz w:val="21"/>
                      <w:szCs w:val="21"/>
                    </w:rPr>
                  </w:pPr>
                </w:p>
              </w:tc>
              <w:tc>
                <w:tcPr>
                  <w:tcW w:w="1173" w:type="pct"/>
                  <w:vMerge w:val="continue"/>
                  <w:tcBorders>
                    <w:tl2br w:val="nil"/>
                    <w:tr2bl w:val="nil"/>
                  </w:tcBorders>
                  <w:noWrap w:val="0"/>
                  <w:vAlign w:val="center"/>
                </w:tcPr>
                <w:p>
                  <w:pPr>
                    <w:pStyle w:val="38"/>
                    <w:bidi w:val="0"/>
                    <w:rPr>
                      <w:rFonts w:hint="default" w:ascii="Times New Roman" w:hAnsi="Times New Roman" w:cs="Times New Roman"/>
                      <w:sz w:val="21"/>
                      <w:szCs w:val="21"/>
                    </w:rPr>
                  </w:pPr>
                </w:p>
              </w:tc>
              <w:tc>
                <w:tcPr>
                  <w:tcW w:w="760" w:type="pct"/>
                  <w:vMerge w:val="continue"/>
                  <w:tcBorders>
                    <w:tl2br w:val="nil"/>
                    <w:tr2bl w:val="nil"/>
                  </w:tcBorders>
                  <w:noWrap w:val="0"/>
                  <w:vAlign w:val="center"/>
                </w:tcPr>
                <w:p>
                  <w:pPr>
                    <w:pStyle w:val="38"/>
                    <w:bidi w:val="0"/>
                    <w:rPr>
                      <w:rFonts w:hint="default" w:ascii="Times New Roman" w:hAnsi="Times New Roman"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334" w:hRule="atLeast"/>
                <w:jc w:val="center"/>
              </w:trPr>
              <w:tc>
                <w:tcPr>
                  <w:tcW w:w="760" w:type="pct"/>
                  <w:vMerge w:val="restart"/>
                  <w:tcBorders>
                    <w:tl2br w:val="nil"/>
                    <w:tr2bl w:val="nil"/>
                  </w:tcBorders>
                  <w:noWrap w:val="0"/>
                  <w:vAlign w:val="center"/>
                </w:tcPr>
                <w:p>
                  <w:pPr>
                    <w:pStyle w:val="38"/>
                    <w:bidi w:val="0"/>
                    <w:rPr>
                      <w:rFonts w:hint="default" w:ascii="Times New Roman" w:hAnsi="Times New Roman" w:cs="Times New Roman"/>
                      <w:sz w:val="21"/>
                      <w:szCs w:val="21"/>
                    </w:rPr>
                  </w:pPr>
                  <w:r>
                    <w:rPr>
                      <w:rFonts w:hint="default" w:ascii="Times New Roman" w:hAnsi="Times New Roman" w:cs="Times New Roman"/>
                      <w:sz w:val="21"/>
                      <w:szCs w:val="21"/>
                    </w:rPr>
                    <w:t>一般防渗区</w:t>
                  </w:r>
                </w:p>
              </w:tc>
              <w:tc>
                <w:tcPr>
                  <w:tcW w:w="760" w:type="pct"/>
                  <w:tcBorders>
                    <w:tl2br w:val="nil"/>
                    <w:tr2bl w:val="nil"/>
                  </w:tcBorders>
                  <w:noWrap w:val="0"/>
                  <w:vAlign w:val="center"/>
                </w:tcPr>
                <w:p>
                  <w:pPr>
                    <w:pStyle w:val="38"/>
                    <w:bidi w:val="0"/>
                    <w:rPr>
                      <w:rFonts w:hint="default" w:ascii="Times New Roman" w:hAnsi="Times New Roman" w:cs="Times New Roman"/>
                      <w:sz w:val="21"/>
                      <w:szCs w:val="21"/>
                    </w:rPr>
                  </w:pPr>
                  <w:r>
                    <w:rPr>
                      <w:rFonts w:hint="default" w:ascii="Times New Roman" w:hAnsi="Times New Roman" w:cs="Times New Roman"/>
                      <w:sz w:val="21"/>
                      <w:szCs w:val="21"/>
                    </w:rPr>
                    <w:t>弱</w:t>
                  </w:r>
                </w:p>
              </w:tc>
              <w:tc>
                <w:tcPr>
                  <w:tcW w:w="760" w:type="pct"/>
                  <w:tcBorders>
                    <w:tl2br w:val="nil"/>
                    <w:tr2bl w:val="nil"/>
                  </w:tcBorders>
                  <w:noWrap w:val="0"/>
                  <w:vAlign w:val="center"/>
                </w:tcPr>
                <w:p>
                  <w:pPr>
                    <w:pStyle w:val="38"/>
                    <w:bidi w:val="0"/>
                    <w:rPr>
                      <w:rFonts w:hint="default" w:ascii="Times New Roman" w:hAnsi="Times New Roman" w:cs="Times New Roman"/>
                      <w:sz w:val="21"/>
                      <w:szCs w:val="21"/>
                    </w:rPr>
                  </w:pPr>
                  <w:r>
                    <w:rPr>
                      <w:rFonts w:hint="default" w:ascii="Times New Roman" w:hAnsi="Times New Roman" w:cs="Times New Roman"/>
                      <w:sz w:val="21"/>
                      <w:szCs w:val="21"/>
                    </w:rPr>
                    <w:t>易-难</w:t>
                  </w:r>
                </w:p>
              </w:tc>
              <w:tc>
                <w:tcPr>
                  <w:tcW w:w="784" w:type="pct"/>
                  <w:vMerge w:val="restart"/>
                  <w:tcBorders>
                    <w:tl2br w:val="nil"/>
                    <w:tr2bl w:val="nil"/>
                  </w:tcBorders>
                  <w:noWrap w:val="0"/>
                  <w:vAlign w:val="center"/>
                </w:tcPr>
                <w:p>
                  <w:pPr>
                    <w:pStyle w:val="38"/>
                    <w:bidi w:val="0"/>
                    <w:rPr>
                      <w:rFonts w:hint="default" w:ascii="Times New Roman" w:hAnsi="Times New Roman" w:cs="Times New Roman"/>
                      <w:sz w:val="21"/>
                      <w:szCs w:val="21"/>
                    </w:rPr>
                  </w:pPr>
                  <w:r>
                    <w:rPr>
                      <w:rFonts w:hint="default" w:ascii="Times New Roman" w:hAnsi="Times New Roman" w:cs="Times New Roman"/>
                      <w:sz w:val="21"/>
                      <w:szCs w:val="21"/>
                    </w:rPr>
                    <w:t>其他类型</w:t>
                  </w:r>
                </w:p>
              </w:tc>
              <w:tc>
                <w:tcPr>
                  <w:tcW w:w="1173" w:type="pct"/>
                  <w:vMerge w:val="restart"/>
                  <w:tcBorders>
                    <w:tl2br w:val="nil"/>
                    <w:tr2bl w:val="nil"/>
                  </w:tcBorders>
                  <w:noWrap w:val="0"/>
                  <w:vAlign w:val="center"/>
                </w:tcPr>
                <w:p>
                  <w:pPr>
                    <w:pStyle w:val="38"/>
                    <w:bidi w:val="0"/>
                    <w:rPr>
                      <w:rFonts w:hint="default" w:ascii="Times New Roman" w:hAnsi="Times New Roman" w:cs="Times New Roman"/>
                      <w:sz w:val="21"/>
                      <w:szCs w:val="21"/>
                    </w:rPr>
                  </w:pPr>
                  <w:r>
                    <w:rPr>
                      <w:rFonts w:hint="default" w:ascii="Times New Roman" w:hAnsi="Times New Roman" w:cs="Times New Roman"/>
                      <w:sz w:val="21"/>
                      <w:szCs w:val="21"/>
                    </w:rPr>
                    <w:t>等效黏土防渗层Mb≥1.5m，k≤1×10</w:t>
                  </w:r>
                  <w:r>
                    <w:rPr>
                      <w:rFonts w:hint="default" w:ascii="Times New Roman" w:hAnsi="Times New Roman" w:cs="Times New Roman"/>
                      <w:sz w:val="21"/>
                      <w:szCs w:val="21"/>
                      <w:vertAlign w:val="superscript"/>
                    </w:rPr>
                    <w:t>-7</w:t>
                  </w:r>
                  <w:r>
                    <w:rPr>
                      <w:rFonts w:hint="default" w:ascii="Times New Roman" w:hAnsi="Times New Roman" w:cs="Times New Roman"/>
                      <w:sz w:val="21"/>
                      <w:szCs w:val="21"/>
                    </w:rPr>
                    <w:t>cm/s；或参照GB16889执行</w:t>
                  </w:r>
                </w:p>
              </w:tc>
              <w:tc>
                <w:tcPr>
                  <w:tcW w:w="760" w:type="pct"/>
                  <w:vMerge w:val="restart"/>
                  <w:tcBorders>
                    <w:tl2br w:val="nil"/>
                    <w:tr2bl w:val="nil"/>
                  </w:tcBorders>
                  <w:noWrap w:val="0"/>
                  <w:vAlign w:val="center"/>
                </w:tcPr>
                <w:p>
                  <w:pPr>
                    <w:pStyle w:val="38"/>
                    <w:bidi w:val="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化粪池</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车库</w:t>
                  </w:r>
                  <w:r>
                    <w:rPr>
                      <w:rFonts w:hint="eastAsia" w:cs="Times New Roman"/>
                      <w:sz w:val="21"/>
                      <w:szCs w:val="21"/>
                      <w:lang w:val="en-US" w:eastAsia="zh-CN"/>
                    </w:rPr>
                    <w:t>、维修车间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334" w:hRule="atLeast"/>
                <w:jc w:val="center"/>
              </w:trPr>
              <w:tc>
                <w:tcPr>
                  <w:tcW w:w="760" w:type="pct"/>
                  <w:vMerge w:val="continue"/>
                  <w:tcBorders>
                    <w:tl2br w:val="nil"/>
                    <w:tr2bl w:val="nil"/>
                  </w:tcBorders>
                  <w:noWrap w:val="0"/>
                  <w:vAlign w:val="center"/>
                </w:tcPr>
                <w:p>
                  <w:pPr>
                    <w:pStyle w:val="38"/>
                    <w:bidi w:val="0"/>
                    <w:rPr>
                      <w:rFonts w:hint="default" w:ascii="Times New Roman" w:hAnsi="Times New Roman" w:cs="Times New Roman"/>
                      <w:sz w:val="21"/>
                      <w:szCs w:val="21"/>
                    </w:rPr>
                  </w:pPr>
                </w:p>
              </w:tc>
              <w:tc>
                <w:tcPr>
                  <w:tcW w:w="760" w:type="pct"/>
                  <w:tcBorders>
                    <w:tl2br w:val="nil"/>
                    <w:tr2bl w:val="nil"/>
                  </w:tcBorders>
                  <w:noWrap w:val="0"/>
                  <w:vAlign w:val="center"/>
                </w:tcPr>
                <w:p>
                  <w:pPr>
                    <w:pStyle w:val="38"/>
                    <w:bidi w:val="0"/>
                    <w:rPr>
                      <w:rFonts w:hint="default" w:ascii="Times New Roman" w:hAnsi="Times New Roman" w:cs="Times New Roman"/>
                      <w:sz w:val="21"/>
                      <w:szCs w:val="21"/>
                    </w:rPr>
                  </w:pPr>
                  <w:r>
                    <w:rPr>
                      <w:rFonts w:hint="default" w:ascii="Times New Roman" w:hAnsi="Times New Roman" w:cs="Times New Roman"/>
                      <w:sz w:val="21"/>
                      <w:szCs w:val="21"/>
                    </w:rPr>
                    <w:t>中-强</w:t>
                  </w:r>
                </w:p>
              </w:tc>
              <w:tc>
                <w:tcPr>
                  <w:tcW w:w="760" w:type="pct"/>
                  <w:tcBorders>
                    <w:tl2br w:val="nil"/>
                    <w:tr2bl w:val="nil"/>
                  </w:tcBorders>
                  <w:noWrap w:val="0"/>
                  <w:vAlign w:val="center"/>
                </w:tcPr>
                <w:p>
                  <w:pPr>
                    <w:pStyle w:val="38"/>
                    <w:bidi w:val="0"/>
                    <w:rPr>
                      <w:rFonts w:hint="default" w:ascii="Times New Roman" w:hAnsi="Times New Roman" w:cs="Times New Roman"/>
                      <w:sz w:val="21"/>
                      <w:szCs w:val="21"/>
                    </w:rPr>
                  </w:pPr>
                  <w:r>
                    <w:rPr>
                      <w:rFonts w:hint="default" w:ascii="Times New Roman" w:hAnsi="Times New Roman" w:cs="Times New Roman"/>
                      <w:sz w:val="21"/>
                      <w:szCs w:val="21"/>
                    </w:rPr>
                    <w:t>难</w:t>
                  </w:r>
                </w:p>
              </w:tc>
              <w:tc>
                <w:tcPr>
                  <w:tcW w:w="784" w:type="pct"/>
                  <w:vMerge w:val="continue"/>
                  <w:tcBorders>
                    <w:tl2br w:val="nil"/>
                    <w:tr2bl w:val="nil"/>
                  </w:tcBorders>
                  <w:noWrap w:val="0"/>
                  <w:vAlign w:val="center"/>
                </w:tcPr>
                <w:p>
                  <w:pPr>
                    <w:pStyle w:val="38"/>
                    <w:bidi w:val="0"/>
                    <w:rPr>
                      <w:rFonts w:hint="default" w:ascii="Times New Roman" w:hAnsi="Times New Roman" w:cs="Times New Roman"/>
                      <w:sz w:val="21"/>
                      <w:szCs w:val="21"/>
                    </w:rPr>
                  </w:pPr>
                </w:p>
              </w:tc>
              <w:tc>
                <w:tcPr>
                  <w:tcW w:w="1173" w:type="pct"/>
                  <w:vMerge w:val="continue"/>
                  <w:tcBorders>
                    <w:tl2br w:val="nil"/>
                    <w:tr2bl w:val="nil"/>
                  </w:tcBorders>
                  <w:noWrap w:val="0"/>
                  <w:vAlign w:val="center"/>
                </w:tcPr>
                <w:p>
                  <w:pPr>
                    <w:pStyle w:val="38"/>
                    <w:bidi w:val="0"/>
                    <w:rPr>
                      <w:rFonts w:hint="default" w:ascii="Times New Roman" w:hAnsi="Times New Roman" w:cs="Times New Roman"/>
                      <w:sz w:val="21"/>
                      <w:szCs w:val="21"/>
                    </w:rPr>
                  </w:pPr>
                </w:p>
              </w:tc>
              <w:tc>
                <w:tcPr>
                  <w:tcW w:w="760" w:type="pct"/>
                  <w:vMerge w:val="continue"/>
                  <w:tcBorders>
                    <w:tl2br w:val="nil"/>
                    <w:tr2bl w:val="nil"/>
                  </w:tcBorders>
                  <w:noWrap w:val="0"/>
                  <w:vAlign w:val="center"/>
                </w:tcPr>
                <w:p>
                  <w:pPr>
                    <w:pStyle w:val="38"/>
                    <w:bidi w:val="0"/>
                    <w:rPr>
                      <w:rFonts w:hint="default" w:ascii="Times New Roman" w:hAnsi="Times New Roman"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334" w:hRule="atLeast"/>
                <w:jc w:val="center"/>
              </w:trPr>
              <w:tc>
                <w:tcPr>
                  <w:tcW w:w="760" w:type="pct"/>
                  <w:vMerge w:val="continue"/>
                  <w:tcBorders>
                    <w:tl2br w:val="nil"/>
                    <w:tr2bl w:val="nil"/>
                  </w:tcBorders>
                  <w:noWrap w:val="0"/>
                  <w:vAlign w:val="center"/>
                </w:tcPr>
                <w:p>
                  <w:pPr>
                    <w:pStyle w:val="38"/>
                    <w:bidi w:val="0"/>
                    <w:rPr>
                      <w:rFonts w:hint="default" w:ascii="Times New Roman" w:hAnsi="Times New Roman" w:cs="Times New Roman"/>
                      <w:sz w:val="21"/>
                      <w:szCs w:val="21"/>
                    </w:rPr>
                  </w:pPr>
                </w:p>
              </w:tc>
              <w:tc>
                <w:tcPr>
                  <w:tcW w:w="760" w:type="pct"/>
                  <w:tcBorders>
                    <w:tl2br w:val="nil"/>
                    <w:tr2bl w:val="nil"/>
                  </w:tcBorders>
                  <w:noWrap w:val="0"/>
                  <w:vAlign w:val="center"/>
                </w:tcPr>
                <w:p>
                  <w:pPr>
                    <w:pStyle w:val="38"/>
                    <w:bidi w:val="0"/>
                    <w:rPr>
                      <w:rFonts w:hint="default" w:ascii="Times New Roman" w:hAnsi="Times New Roman" w:cs="Times New Roman"/>
                      <w:sz w:val="21"/>
                      <w:szCs w:val="21"/>
                    </w:rPr>
                  </w:pPr>
                  <w:r>
                    <w:rPr>
                      <w:rFonts w:hint="default" w:ascii="Times New Roman" w:hAnsi="Times New Roman" w:cs="Times New Roman"/>
                      <w:sz w:val="21"/>
                      <w:szCs w:val="21"/>
                    </w:rPr>
                    <w:t>中</w:t>
                  </w:r>
                </w:p>
              </w:tc>
              <w:tc>
                <w:tcPr>
                  <w:tcW w:w="760" w:type="pct"/>
                  <w:tcBorders>
                    <w:tl2br w:val="nil"/>
                    <w:tr2bl w:val="nil"/>
                  </w:tcBorders>
                  <w:noWrap w:val="0"/>
                  <w:vAlign w:val="center"/>
                </w:tcPr>
                <w:p>
                  <w:pPr>
                    <w:pStyle w:val="38"/>
                    <w:bidi w:val="0"/>
                    <w:rPr>
                      <w:rFonts w:hint="default" w:ascii="Times New Roman" w:hAnsi="Times New Roman" w:cs="Times New Roman"/>
                      <w:sz w:val="21"/>
                      <w:szCs w:val="21"/>
                    </w:rPr>
                  </w:pPr>
                  <w:r>
                    <w:rPr>
                      <w:rFonts w:hint="default" w:ascii="Times New Roman" w:hAnsi="Times New Roman" w:cs="Times New Roman"/>
                      <w:sz w:val="21"/>
                      <w:szCs w:val="21"/>
                    </w:rPr>
                    <w:t>易</w:t>
                  </w:r>
                </w:p>
              </w:tc>
              <w:tc>
                <w:tcPr>
                  <w:tcW w:w="784" w:type="pct"/>
                  <w:vMerge w:val="restart"/>
                  <w:tcBorders>
                    <w:tl2br w:val="nil"/>
                    <w:tr2bl w:val="nil"/>
                  </w:tcBorders>
                  <w:noWrap w:val="0"/>
                  <w:vAlign w:val="center"/>
                </w:tcPr>
                <w:p>
                  <w:pPr>
                    <w:pStyle w:val="38"/>
                    <w:bidi w:val="0"/>
                    <w:rPr>
                      <w:rFonts w:hint="default" w:ascii="Times New Roman" w:hAnsi="Times New Roman" w:cs="Times New Roman"/>
                      <w:sz w:val="21"/>
                      <w:szCs w:val="21"/>
                    </w:rPr>
                  </w:pPr>
                  <w:r>
                    <w:rPr>
                      <w:rFonts w:hint="default" w:ascii="Times New Roman" w:hAnsi="Times New Roman" w:cs="Times New Roman"/>
                      <w:sz w:val="21"/>
                      <w:szCs w:val="21"/>
                    </w:rPr>
                    <w:t>重金属、持久性有机物污染物</w:t>
                  </w:r>
                </w:p>
              </w:tc>
              <w:tc>
                <w:tcPr>
                  <w:tcW w:w="1173" w:type="pct"/>
                  <w:vMerge w:val="continue"/>
                  <w:tcBorders>
                    <w:tl2br w:val="nil"/>
                    <w:tr2bl w:val="nil"/>
                  </w:tcBorders>
                  <w:noWrap w:val="0"/>
                  <w:vAlign w:val="center"/>
                </w:tcPr>
                <w:p>
                  <w:pPr>
                    <w:pStyle w:val="38"/>
                    <w:bidi w:val="0"/>
                    <w:rPr>
                      <w:rFonts w:hint="default" w:ascii="Times New Roman" w:hAnsi="Times New Roman" w:cs="Times New Roman"/>
                      <w:sz w:val="21"/>
                      <w:szCs w:val="21"/>
                    </w:rPr>
                  </w:pPr>
                </w:p>
              </w:tc>
              <w:tc>
                <w:tcPr>
                  <w:tcW w:w="760" w:type="pct"/>
                  <w:vMerge w:val="continue"/>
                  <w:tcBorders>
                    <w:tl2br w:val="nil"/>
                    <w:tr2bl w:val="nil"/>
                  </w:tcBorders>
                  <w:noWrap w:val="0"/>
                  <w:vAlign w:val="center"/>
                </w:tcPr>
                <w:p>
                  <w:pPr>
                    <w:pStyle w:val="38"/>
                    <w:bidi w:val="0"/>
                    <w:rPr>
                      <w:rFonts w:hint="default" w:ascii="Times New Roman" w:hAnsi="Times New Roman"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341" w:hRule="atLeast"/>
                <w:jc w:val="center"/>
              </w:trPr>
              <w:tc>
                <w:tcPr>
                  <w:tcW w:w="760" w:type="pct"/>
                  <w:vMerge w:val="continue"/>
                  <w:tcBorders>
                    <w:tl2br w:val="nil"/>
                    <w:tr2bl w:val="nil"/>
                  </w:tcBorders>
                  <w:noWrap w:val="0"/>
                  <w:vAlign w:val="center"/>
                </w:tcPr>
                <w:p>
                  <w:pPr>
                    <w:pStyle w:val="38"/>
                    <w:bidi w:val="0"/>
                    <w:rPr>
                      <w:rFonts w:hint="default" w:ascii="Times New Roman" w:hAnsi="Times New Roman" w:cs="Times New Roman"/>
                      <w:sz w:val="21"/>
                      <w:szCs w:val="21"/>
                    </w:rPr>
                  </w:pPr>
                </w:p>
              </w:tc>
              <w:tc>
                <w:tcPr>
                  <w:tcW w:w="760" w:type="pct"/>
                  <w:tcBorders>
                    <w:tl2br w:val="nil"/>
                    <w:tr2bl w:val="nil"/>
                  </w:tcBorders>
                  <w:noWrap w:val="0"/>
                  <w:vAlign w:val="center"/>
                </w:tcPr>
                <w:p>
                  <w:pPr>
                    <w:pStyle w:val="38"/>
                    <w:bidi w:val="0"/>
                    <w:rPr>
                      <w:rFonts w:hint="default" w:ascii="Times New Roman" w:hAnsi="Times New Roman" w:cs="Times New Roman"/>
                      <w:sz w:val="21"/>
                      <w:szCs w:val="21"/>
                    </w:rPr>
                  </w:pPr>
                  <w:r>
                    <w:rPr>
                      <w:rFonts w:hint="default" w:ascii="Times New Roman" w:hAnsi="Times New Roman" w:cs="Times New Roman"/>
                      <w:sz w:val="21"/>
                      <w:szCs w:val="21"/>
                    </w:rPr>
                    <w:t>强</w:t>
                  </w:r>
                </w:p>
              </w:tc>
              <w:tc>
                <w:tcPr>
                  <w:tcW w:w="760" w:type="pct"/>
                  <w:tcBorders>
                    <w:tl2br w:val="nil"/>
                    <w:tr2bl w:val="nil"/>
                  </w:tcBorders>
                  <w:noWrap w:val="0"/>
                  <w:vAlign w:val="center"/>
                </w:tcPr>
                <w:p>
                  <w:pPr>
                    <w:pStyle w:val="38"/>
                    <w:bidi w:val="0"/>
                    <w:rPr>
                      <w:rFonts w:hint="default" w:ascii="Times New Roman" w:hAnsi="Times New Roman" w:cs="Times New Roman"/>
                      <w:sz w:val="21"/>
                      <w:szCs w:val="21"/>
                    </w:rPr>
                  </w:pPr>
                  <w:r>
                    <w:rPr>
                      <w:rFonts w:hint="default" w:ascii="Times New Roman" w:hAnsi="Times New Roman" w:cs="Times New Roman"/>
                      <w:sz w:val="21"/>
                      <w:szCs w:val="21"/>
                    </w:rPr>
                    <w:t>易</w:t>
                  </w:r>
                </w:p>
              </w:tc>
              <w:tc>
                <w:tcPr>
                  <w:tcW w:w="784" w:type="pct"/>
                  <w:vMerge w:val="continue"/>
                  <w:tcBorders>
                    <w:tl2br w:val="nil"/>
                    <w:tr2bl w:val="nil"/>
                  </w:tcBorders>
                  <w:noWrap w:val="0"/>
                  <w:vAlign w:val="center"/>
                </w:tcPr>
                <w:p>
                  <w:pPr>
                    <w:pStyle w:val="38"/>
                    <w:bidi w:val="0"/>
                    <w:rPr>
                      <w:rFonts w:hint="default" w:ascii="Times New Roman" w:hAnsi="Times New Roman" w:cs="Times New Roman"/>
                      <w:sz w:val="21"/>
                      <w:szCs w:val="21"/>
                    </w:rPr>
                  </w:pPr>
                </w:p>
              </w:tc>
              <w:tc>
                <w:tcPr>
                  <w:tcW w:w="1173" w:type="pct"/>
                  <w:vMerge w:val="continue"/>
                  <w:tcBorders>
                    <w:tl2br w:val="nil"/>
                    <w:tr2bl w:val="nil"/>
                  </w:tcBorders>
                  <w:noWrap w:val="0"/>
                  <w:vAlign w:val="center"/>
                </w:tcPr>
                <w:p>
                  <w:pPr>
                    <w:pStyle w:val="38"/>
                    <w:bidi w:val="0"/>
                    <w:rPr>
                      <w:rFonts w:hint="default" w:ascii="Times New Roman" w:hAnsi="Times New Roman" w:cs="Times New Roman"/>
                      <w:sz w:val="21"/>
                      <w:szCs w:val="21"/>
                    </w:rPr>
                  </w:pPr>
                </w:p>
              </w:tc>
              <w:tc>
                <w:tcPr>
                  <w:tcW w:w="760" w:type="pct"/>
                  <w:vMerge w:val="continue"/>
                  <w:tcBorders>
                    <w:tl2br w:val="nil"/>
                    <w:tr2bl w:val="nil"/>
                  </w:tcBorders>
                  <w:noWrap w:val="0"/>
                  <w:vAlign w:val="center"/>
                </w:tcPr>
                <w:p>
                  <w:pPr>
                    <w:pStyle w:val="38"/>
                    <w:bidi w:val="0"/>
                    <w:rPr>
                      <w:rFonts w:hint="default" w:ascii="Times New Roman" w:hAnsi="Times New Roman"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350" w:hRule="atLeast"/>
                <w:jc w:val="center"/>
              </w:trPr>
              <w:tc>
                <w:tcPr>
                  <w:tcW w:w="760" w:type="pct"/>
                  <w:tcBorders>
                    <w:tl2br w:val="nil"/>
                    <w:tr2bl w:val="nil"/>
                  </w:tcBorders>
                  <w:noWrap w:val="0"/>
                  <w:vAlign w:val="center"/>
                </w:tcPr>
                <w:p>
                  <w:pPr>
                    <w:pStyle w:val="38"/>
                    <w:bidi w:val="0"/>
                    <w:rPr>
                      <w:rFonts w:hint="default" w:ascii="Times New Roman" w:hAnsi="Times New Roman" w:cs="Times New Roman"/>
                      <w:sz w:val="21"/>
                      <w:szCs w:val="21"/>
                    </w:rPr>
                  </w:pPr>
                  <w:r>
                    <w:rPr>
                      <w:rFonts w:hint="default" w:ascii="Times New Roman" w:hAnsi="Times New Roman" w:cs="Times New Roman"/>
                      <w:sz w:val="21"/>
                      <w:szCs w:val="21"/>
                    </w:rPr>
                    <w:t>简单防渗区</w:t>
                  </w:r>
                </w:p>
              </w:tc>
              <w:tc>
                <w:tcPr>
                  <w:tcW w:w="760" w:type="pct"/>
                  <w:tcBorders>
                    <w:tl2br w:val="nil"/>
                    <w:tr2bl w:val="nil"/>
                  </w:tcBorders>
                  <w:noWrap w:val="0"/>
                  <w:vAlign w:val="center"/>
                </w:tcPr>
                <w:p>
                  <w:pPr>
                    <w:pStyle w:val="38"/>
                    <w:bidi w:val="0"/>
                    <w:rPr>
                      <w:rFonts w:hint="default" w:ascii="Times New Roman" w:hAnsi="Times New Roman" w:cs="Times New Roman"/>
                      <w:sz w:val="21"/>
                      <w:szCs w:val="21"/>
                    </w:rPr>
                  </w:pPr>
                  <w:r>
                    <w:rPr>
                      <w:rFonts w:hint="default" w:ascii="Times New Roman" w:hAnsi="Times New Roman" w:cs="Times New Roman"/>
                      <w:sz w:val="21"/>
                      <w:szCs w:val="21"/>
                    </w:rPr>
                    <w:t>中-强</w:t>
                  </w:r>
                </w:p>
              </w:tc>
              <w:tc>
                <w:tcPr>
                  <w:tcW w:w="760" w:type="pct"/>
                  <w:tcBorders>
                    <w:tl2br w:val="nil"/>
                    <w:tr2bl w:val="nil"/>
                  </w:tcBorders>
                  <w:noWrap w:val="0"/>
                  <w:vAlign w:val="center"/>
                </w:tcPr>
                <w:p>
                  <w:pPr>
                    <w:pStyle w:val="38"/>
                    <w:bidi w:val="0"/>
                    <w:rPr>
                      <w:rFonts w:hint="default" w:ascii="Times New Roman" w:hAnsi="Times New Roman" w:cs="Times New Roman"/>
                      <w:sz w:val="21"/>
                      <w:szCs w:val="21"/>
                    </w:rPr>
                  </w:pPr>
                  <w:r>
                    <w:rPr>
                      <w:rFonts w:hint="default" w:ascii="Times New Roman" w:hAnsi="Times New Roman" w:cs="Times New Roman"/>
                      <w:sz w:val="21"/>
                      <w:szCs w:val="21"/>
                    </w:rPr>
                    <w:t>易</w:t>
                  </w:r>
                </w:p>
              </w:tc>
              <w:tc>
                <w:tcPr>
                  <w:tcW w:w="784" w:type="pct"/>
                  <w:tcBorders>
                    <w:tl2br w:val="nil"/>
                    <w:tr2bl w:val="nil"/>
                  </w:tcBorders>
                  <w:noWrap w:val="0"/>
                  <w:vAlign w:val="center"/>
                </w:tcPr>
                <w:p>
                  <w:pPr>
                    <w:pStyle w:val="38"/>
                    <w:bidi w:val="0"/>
                    <w:rPr>
                      <w:rFonts w:hint="default" w:ascii="Times New Roman" w:hAnsi="Times New Roman" w:cs="Times New Roman"/>
                      <w:sz w:val="21"/>
                      <w:szCs w:val="21"/>
                    </w:rPr>
                  </w:pPr>
                  <w:r>
                    <w:rPr>
                      <w:rFonts w:hint="default" w:ascii="Times New Roman" w:hAnsi="Times New Roman" w:cs="Times New Roman"/>
                      <w:sz w:val="21"/>
                      <w:szCs w:val="21"/>
                    </w:rPr>
                    <w:t>其他类型</w:t>
                  </w:r>
                </w:p>
              </w:tc>
              <w:tc>
                <w:tcPr>
                  <w:tcW w:w="1173" w:type="pct"/>
                  <w:tcBorders>
                    <w:tl2br w:val="nil"/>
                    <w:tr2bl w:val="nil"/>
                  </w:tcBorders>
                  <w:noWrap w:val="0"/>
                  <w:vAlign w:val="center"/>
                </w:tcPr>
                <w:p>
                  <w:pPr>
                    <w:pStyle w:val="38"/>
                    <w:bidi w:val="0"/>
                    <w:rPr>
                      <w:rFonts w:hint="default" w:ascii="Times New Roman" w:hAnsi="Times New Roman" w:cs="Times New Roman"/>
                      <w:sz w:val="21"/>
                      <w:szCs w:val="21"/>
                    </w:rPr>
                  </w:pPr>
                  <w:r>
                    <w:rPr>
                      <w:rFonts w:hint="default" w:ascii="Times New Roman" w:hAnsi="Times New Roman" w:cs="Times New Roman"/>
                      <w:sz w:val="21"/>
                      <w:szCs w:val="21"/>
                    </w:rPr>
                    <w:t>一般地面硬化</w:t>
                  </w:r>
                </w:p>
              </w:tc>
              <w:tc>
                <w:tcPr>
                  <w:tcW w:w="760" w:type="pct"/>
                  <w:tcBorders>
                    <w:tl2br w:val="nil"/>
                    <w:tr2bl w:val="nil"/>
                  </w:tcBorders>
                  <w:noWrap w:val="0"/>
                  <w:vAlign w:val="center"/>
                </w:tcPr>
                <w:p>
                  <w:pPr>
                    <w:pStyle w:val="38"/>
                    <w:bidi w:val="0"/>
                    <w:rPr>
                      <w:rFonts w:hint="eastAsia" w:ascii="Times New Roman" w:hAnsi="Times New Roman" w:eastAsia="宋体" w:cs="Times New Roman"/>
                      <w:sz w:val="21"/>
                      <w:szCs w:val="21"/>
                      <w:lang w:eastAsia="zh-CN"/>
                    </w:rPr>
                  </w:pPr>
                  <w:r>
                    <w:rPr>
                      <w:rFonts w:hint="eastAsia" w:cs="Times New Roman"/>
                      <w:sz w:val="21"/>
                      <w:szCs w:val="21"/>
                      <w:lang w:eastAsia="zh-CN"/>
                    </w:rPr>
                    <w:t>办公楼</w:t>
                  </w:r>
                </w:p>
              </w:tc>
            </w:tr>
          </w:tbl>
          <w:p>
            <w:pPr>
              <w:spacing w:line="360" w:lineRule="auto"/>
              <w:ind w:firstLine="480"/>
              <w:rPr>
                <w:rFonts w:hint="default" w:ascii="Times New Roman" w:hAnsi="Times New Roman" w:cs="Times New Roman"/>
                <w:color w:val="000000"/>
                <w:sz w:val="24"/>
              </w:rPr>
            </w:pPr>
            <w:r>
              <w:rPr>
                <w:rFonts w:hint="default" w:ascii="Times New Roman" w:hAnsi="Times New Roman" w:cs="Times New Roman"/>
                <w:color w:val="000000"/>
                <w:sz w:val="24"/>
              </w:rPr>
              <w:t>防渗层尽量在地表铺设，按照污染防治分区采取不同的设计方案，具体如下：</w:t>
            </w:r>
          </w:p>
          <w:p>
            <w:pPr>
              <w:spacing w:line="360" w:lineRule="auto"/>
              <w:ind w:firstLine="480"/>
              <w:rPr>
                <w:rFonts w:hint="default" w:ascii="Times New Roman" w:hAnsi="Times New Roman" w:cs="Times New Roman"/>
                <w:color w:val="000000"/>
                <w:sz w:val="24"/>
              </w:rPr>
            </w:pPr>
            <w:r>
              <w:rPr>
                <w:rFonts w:hint="default" w:ascii="Times New Roman" w:hAnsi="Times New Roman" w:cs="Times New Roman"/>
                <w:color w:val="000000"/>
                <w:sz w:val="24"/>
              </w:rPr>
              <w:t>①重点防渗区：采用坚固、防渗、耐腐蚀的钢筋混凝土材料铺设，防渗层采用等效黏土防渗层Mb≥6.0m，k≤1×10</w:t>
            </w:r>
            <w:r>
              <w:rPr>
                <w:rFonts w:hint="default" w:ascii="Times New Roman" w:hAnsi="Times New Roman" w:cs="Times New Roman"/>
                <w:color w:val="000000"/>
                <w:sz w:val="24"/>
                <w:vertAlign w:val="superscript"/>
              </w:rPr>
              <w:t>-7</w:t>
            </w:r>
            <w:r>
              <w:rPr>
                <w:rFonts w:hint="default" w:ascii="Times New Roman" w:hAnsi="Times New Roman" w:cs="Times New Roman"/>
                <w:color w:val="000000"/>
                <w:sz w:val="24"/>
              </w:rPr>
              <w:t>cm/s，并采用环氧漆做防腐防渗处理，切断污染地下水途径。</w:t>
            </w:r>
          </w:p>
          <w:p>
            <w:pPr>
              <w:spacing w:line="360" w:lineRule="auto"/>
              <w:ind w:firstLine="480"/>
              <w:rPr>
                <w:rFonts w:hint="default" w:ascii="Times New Roman" w:hAnsi="Times New Roman" w:cs="Times New Roman"/>
                <w:color w:val="000000"/>
                <w:sz w:val="24"/>
              </w:rPr>
            </w:pPr>
            <w:r>
              <w:rPr>
                <w:rFonts w:hint="default" w:ascii="Times New Roman" w:hAnsi="Times New Roman" w:cs="Times New Roman"/>
                <w:color w:val="000000"/>
                <w:sz w:val="24"/>
              </w:rPr>
              <w:t>②一般防渗区：地面采取等效黏土防渗层Mb≥1.5m，k≤1×10</w:t>
            </w:r>
            <w:r>
              <w:rPr>
                <w:rFonts w:hint="default" w:ascii="Times New Roman" w:hAnsi="Times New Roman" w:cs="Times New Roman"/>
                <w:color w:val="000000"/>
                <w:sz w:val="24"/>
                <w:vertAlign w:val="superscript"/>
              </w:rPr>
              <w:t>-7</w:t>
            </w:r>
            <w:r>
              <w:rPr>
                <w:rFonts w:hint="default" w:ascii="Times New Roman" w:hAnsi="Times New Roman" w:cs="Times New Roman"/>
                <w:color w:val="000000"/>
                <w:sz w:val="24"/>
              </w:rPr>
              <w:t>cm/s。</w:t>
            </w:r>
          </w:p>
          <w:p>
            <w:pPr>
              <w:spacing w:line="360" w:lineRule="auto"/>
              <w:ind w:firstLine="480"/>
              <w:rPr>
                <w:rFonts w:hint="default" w:ascii="Times New Roman" w:hAnsi="Times New Roman" w:cs="Times New Roman"/>
                <w:color w:val="000000"/>
                <w:sz w:val="24"/>
              </w:rPr>
            </w:pPr>
            <w:r>
              <w:rPr>
                <w:rFonts w:hint="default" w:ascii="Times New Roman" w:hAnsi="Times New Roman" w:cs="Times New Roman"/>
                <w:color w:val="000000"/>
                <w:sz w:val="24"/>
              </w:rPr>
              <w:t>③简单防渗区：采用一般硬化的方式防渗。</w:t>
            </w:r>
          </w:p>
          <w:p>
            <w:pPr>
              <w:ind w:firstLine="460"/>
              <w:rPr>
                <w:rFonts w:hint="default" w:ascii="Times New Roman" w:hAnsi="Times New Roman" w:cs="Times New Roman"/>
                <w:color w:val="000000"/>
              </w:rPr>
            </w:pPr>
            <w:r>
              <w:rPr>
                <w:rFonts w:hint="default" w:ascii="Times New Roman" w:hAnsi="Times New Roman" w:cs="Times New Roman"/>
                <w:color w:val="000000"/>
              </w:rPr>
              <w:t>经采取以上措施后，项目对地下水环境影响较小</w:t>
            </w:r>
            <w:r>
              <w:rPr>
                <w:rFonts w:cs="Times New Roman"/>
                <w:lang w:val="en-US"/>
              </w:rPr>
              <w:t>。</w:t>
            </w:r>
          </w:p>
          <w:p>
            <w:pPr>
              <w:pStyle w:val="38"/>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6" w:hRule="atLeast"/>
          <w:jc w:val="center"/>
        </w:trPr>
        <w:tc>
          <w:tcPr>
            <w:tcW w:w="441" w:type="dxa"/>
            <w:tcBorders>
              <w:top w:val="single" w:color="000000" w:sz="4" w:space="0"/>
              <w:bottom w:val="single" w:color="000000" w:sz="4" w:space="0"/>
              <w:right w:val="single" w:color="000000" w:sz="4" w:space="0"/>
            </w:tcBorders>
          </w:tcPr>
          <w:p>
            <w:pPr>
              <w:pStyle w:val="39"/>
              <w:rPr>
                <w:sz w:val="28"/>
                <w:szCs w:val="28"/>
              </w:rPr>
            </w:pPr>
            <w:r>
              <w:rPr>
                <w:sz w:val="28"/>
                <w:szCs w:val="28"/>
              </w:rPr>
              <w:t xml:space="preserve">生态保护措施 </w:t>
            </w:r>
          </w:p>
        </w:tc>
        <w:tc>
          <w:tcPr>
            <w:tcW w:w="8630" w:type="dxa"/>
            <w:gridSpan w:val="5"/>
            <w:tcBorders>
              <w:top w:val="single" w:color="000000" w:sz="4" w:space="0"/>
              <w:left w:val="single" w:color="000000" w:sz="4" w:space="0"/>
              <w:bottom w:val="single" w:color="000000" w:sz="4" w:space="0"/>
            </w:tcBorders>
            <w:vAlign w:val="center"/>
          </w:tcPr>
          <w:p>
            <w:pPr>
              <w:ind w:firstLine="480"/>
              <w:jc w:val="both"/>
            </w:pPr>
            <w:r>
              <w:rPr>
                <w:rFonts w:hint="eastAsia" w:cs="Times New Roman"/>
                <w:lang w:val="en-US" w:eastAsia="zh-CN"/>
              </w:rPr>
              <w:t>本</w:t>
            </w:r>
            <w:r>
              <w:rPr>
                <w:rFonts w:hint="eastAsia"/>
                <w:lang w:val="en-US" w:eastAsia="zh-CN"/>
              </w:rPr>
              <w:t>项目占地范围内已无动植物存在，</w:t>
            </w:r>
            <w:r>
              <w:rPr>
                <w:rFonts w:hint="eastAsia" w:cs="Times New Roman"/>
                <w:sz w:val="24"/>
                <w:lang w:eastAsia="zh-CN"/>
              </w:rPr>
              <w:t>运营期间，保证污染治理设施正常进行，那么</w:t>
            </w:r>
            <w:r>
              <w:rPr>
                <w:rFonts w:hint="default" w:ascii="Times New Roman" w:hAnsi="Times New Roman" w:cs="Times New Roman"/>
                <w:sz w:val="24"/>
              </w:rPr>
              <w:t>运营期对周边生态环境的影响很小</w:t>
            </w:r>
            <w:r>
              <w:rPr>
                <w:rFonts w:hint="eastAsia"/>
                <w:color w:val="auto"/>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0" w:hRule="atLeast"/>
          <w:jc w:val="center"/>
        </w:trPr>
        <w:tc>
          <w:tcPr>
            <w:tcW w:w="441" w:type="dxa"/>
            <w:tcBorders>
              <w:top w:val="single" w:color="000000" w:sz="4" w:space="0"/>
              <w:bottom w:val="single" w:color="000000" w:sz="4" w:space="0"/>
              <w:right w:val="single" w:color="000000" w:sz="4" w:space="0"/>
            </w:tcBorders>
            <w:vAlign w:val="center"/>
          </w:tcPr>
          <w:p>
            <w:pPr>
              <w:pStyle w:val="39"/>
              <w:rPr>
                <w:sz w:val="28"/>
                <w:szCs w:val="28"/>
              </w:rPr>
            </w:pPr>
            <w:r>
              <w:rPr>
                <w:sz w:val="28"/>
                <w:szCs w:val="28"/>
              </w:rPr>
              <w:t>环境风险防范措施</w:t>
            </w:r>
          </w:p>
        </w:tc>
        <w:tc>
          <w:tcPr>
            <w:tcW w:w="8630" w:type="dxa"/>
            <w:gridSpan w:val="5"/>
            <w:tcBorders>
              <w:top w:val="single" w:color="000000" w:sz="4" w:space="0"/>
              <w:left w:val="single" w:color="000000" w:sz="4" w:space="0"/>
              <w:bottom w:val="single" w:color="000000" w:sz="4" w:space="0"/>
            </w:tcBorders>
            <w:vAlign w:val="center"/>
          </w:tcPr>
          <w:p>
            <w:pPr>
              <w:ind w:firstLine="480"/>
              <w:jc w:val="both"/>
            </w:pPr>
            <w:r>
              <w:rPr>
                <w:rFonts w:hint="default" w:ascii="Times New Roman" w:hAnsi="Times New Roman" w:cs="Times New Roman"/>
                <w:color w:val="000000"/>
                <w:sz w:val="24"/>
              </w:rPr>
              <w:t>本项目生产过程为简单物理机械压缩生活垃圾过程，无化学反应过程。不存在有毒有害原料泄露、爆炸等问题。本项目主要环境风险主要为垃圾渗滤液</w:t>
            </w:r>
            <w:r>
              <w:rPr>
                <w:rFonts w:hint="eastAsia" w:cs="Times New Roman"/>
                <w:color w:val="000000"/>
                <w:sz w:val="24"/>
                <w:lang w:eastAsia="zh-CN"/>
              </w:rPr>
              <w:t>及垃圾臭气，风险源主要集中在垃圾渗滤收集池及废气排放口。具体环境风险防范措施</w:t>
            </w:r>
            <w:r>
              <w:rPr>
                <w:rFonts w:hint="eastAsia"/>
              </w:rPr>
              <w:t>详见第四章节环境风险分析。</w:t>
            </w:r>
          </w:p>
          <w:p>
            <w:pPr>
              <w:ind w:firstLine="480"/>
              <w:jc w:val="both"/>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2" w:hRule="atLeast"/>
          <w:jc w:val="center"/>
        </w:trPr>
        <w:tc>
          <w:tcPr>
            <w:tcW w:w="441" w:type="dxa"/>
            <w:tcBorders>
              <w:top w:val="single" w:color="000000" w:sz="4" w:space="0"/>
              <w:right w:val="single" w:color="000000" w:sz="4" w:space="0"/>
            </w:tcBorders>
            <w:vAlign w:val="center"/>
          </w:tcPr>
          <w:p>
            <w:pPr>
              <w:pStyle w:val="39"/>
              <w:rPr>
                <w:sz w:val="28"/>
                <w:szCs w:val="28"/>
              </w:rPr>
            </w:pPr>
            <w:r>
              <w:rPr>
                <w:sz w:val="28"/>
                <w:szCs w:val="28"/>
              </w:rPr>
              <w:t>其他环境管理要求</w:t>
            </w:r>
          </w:p>
        </w:tc>
        <w:tc>
          <w:tcPr>
            <w:tcW w:w="8630" w:type="dxa"/>
            <w:gridSpan w:val="5"/>
            <w:tcBorders>
              <w:top w:val="single" w:color="000000" w:sz="4" w:space="0"/>
              <w:left w:val="single" w:color="000000" w:sz="4" w:space="0"/>
            </w:tcBorders>
            <w:vAlign w:val="center"/>
          </w:tcPr>
          <w:p>
            <w:pPr>
              <w:pStyle w:val="8"/>
              <w:bidi w:val="0"/>
              <w:ind w:left="0" w:leftChars="0" w:firstLine="0" w:firstLineChars="0"/>
              <w:rPr>
                <w:b/>
                <w:bCs/>
                <w:u w:val="single"/>
              </w:rPr>
            </w:pPr>
            <w:r>
              <w:rPr>
                <w:rFonts w:hint="eastAsia"/>
                <w:b/>
                <w:bCs/>
                <w:u w:val="single"/>
                <w:lang w:val="en-US" w:eastAsia="zh-CN"/>
              </w:rPr>
              <w:t>（1）</w:t>
            </w:r>
            <w:r>
              <w:rPr>
                <w:rFonts w:hint="eastAsia"/>
                <w:b/>
                <w:bCs/>
                <w:u w:val="single"/>
                <w:lang w:val="en-US"/>
              </w:rPr>
              <w:t xml:space="preserve"> </w:t>
            </w:r>
            <w:r>
              <w:rPr>
                <w:b/>
                <w:bCs/>
                <w:u w:val="single"/>
              </w:rPr>
              <w:t>环保投资</w:t>
            </w:r>
          </w:p>
          <w:p>
            <w:pPr>
              <w:ind w:firstLine="480"/>
              <w:rPr>
                <w:rFonts w:cs="Times New Roman"/>
                <w:b/>
                <w:bCs/>
                <w:u w:val="single"/>
              </w:rPr>
            </w:pPr>
            <w:r>
              <w:rPr>
                <w:rFonts w:cs="Times New Roman"/>
                <w:u w:val="single"/>
              </w:rPr>
              <w:t>本项目总投资</w:t>
            </w:r>
            <w:r>
              <w:rPr>
                <w:rFonts w:hint="eastAsia" w:cs="Times New Roman"/>
                <w:u w:val="single"/>
                <w:lang w:val="en-US" w:eastAsia="zh-CN"/>
              </w:rPr>
              <w:t>2618.47</w:t>
            </w:r>
            <w:r>
              <w:rPr>
                <w:rFonts w:cs="Times New Roman"/>
                <w:u w:val="single"/>
              </w:rPr>
              <w:t>万元，其中环保投资</w:t>
            </w:r>
            <w:r>
              <w:rPr>
                <w:rFonts w:hint="eastAsia" w:cs="Times New Roman"/>
                <w:u w:val="single"/>
                <w:lang w:val="en-US" w:eastAsia="zh-CN"/>
              </w:rPr>
              <w:t>157.3</w:t>
            </w:r>
            <w:r>
              <w:rPr>
                <w:rFonts w:cs="Times New Roman"/>
                <w:u w:val="single"/>
              </w:rPr>
              <w:t>万元，约占总投资的</w:t>
            </w:r>
            <w:r>
              <w:rPr>
                <w:rFonts w:hint="eastAsia" w:cs="Times New Roman"/>
                <w:u w:val="single"/>
                <w:lang w:val="en-US" w:eastAsia="zh-CN"/>
              </w:rPr>
              <w:t>6.01</w:t>
            </w:r>
            <w:r>
              <w:rPr>
                <w:rFonts w:cs="Times New Roman"/>
                <w:u w:val="single"/>
              </w:rPr>
              <w:t>%。具体明细见表</w:t>
            </w:r>
            <w:r>
              <w:rPr>
                <w:rFonts w:hint="eastAsia" w:cs="Times New Roman"/>
                <w:u w:val="single"/>
                <w:lang w:val="en-US" w:eastAsia="zh-CN"/>
              </w:rPr>
              <w:t>1-7</w:t>
            </w:r>
            <w:r>
              <w:rPr>
                <w:rFonts w:cs="Times New Roman"/>
                <w:u w:val="single"/>
              </w:rPr>
              <w:t>。</w:t>
            </w:r>
          </w:p>
          <w:p>
            <w:pPr>
              <w:spacing w:line="360" w:lineRule="auto"/>
              <w:jc w:val="center"/>
              <w:rPr>
                <w:rFonts w:hint="eastAsia" w:ascii="Times New Roman" w:hAnsi="Times New Roman"/>
                <w:b/>
                <w:szCs w:val="21"/>
                <w:u w:val="single"/>
              </w:rPr>
            </w:pPr>
            <w:r>
              <w:rPr>
                <w:rFonts w:ascii="Times New Roman" w:hAnsi="Times New Roman"/>
                <w:b/>
                <w:szCs w:val="21"/>
                <w:u w:val="single"/>
              </w:rPr>
              <w:t>表</w:t>
            </w:r>
            <w:r>
              <w:rPr>
                <w:rFonts w:hint="eastAsia"/>
                <w:b/>
                <w:szCs w:val="21"/>
                <w:u w:val="single"/>
                <w:lang w:val="en-US" w:eastAsia="zh-CN"/>
              </w:rPr>
              <w:t>1-7</w:t>
            </w:r>
            <w:r>
              <w:rPr>
                <w:rFonts w:ascii="Times New Roman" w:hAnsi="Times New Roman"/>
                <w:b/>
                <w:szCs w:val="21"/>
                <w:u w:val="single"/>
              </w:rPr>
              <w:t xml:space="preserve">   </w:t>
            </w:r>
            <w:r>
              <w:rPr>
                <w:rFonts w:hint="eastAsia"/>
                <w:b/>
                <w:szCs w:val="21"/>
                <w:u w:val="single"/>
                <w:lang w:eastAsia="zh-CN"/>
              </w:rPr>
              <w:t>凤凰县沱江镇高峰</w:t>
            </w:r>
            <w:r>
              <w:rPr>
                <w:rFonts w:hint="eastAsia" w:ascii="Times New Roman" w:hAnsi="Times New Roman"/>
                <w:b/>
                <w:szCs w:val="21"/>
                <w:u w:val="single"/>
              </w:rPr>
              <w:t>垃圾转运站</w:t>
            </w:r>
            <w:r>
              <w:rPr>
                <w:rFonts w:ascii="Times New Roman" w:hAnsi="Times New Roman"/>
                <w:b/>
                <w:szCs w:val="21"/>
                <w:u w:val="single"/>
              </w:rPr>
              <w:t>项目环保投资估算一览表</w:t>
            </w:r>
          </w:p>
          <w:tbl>
            <w:tblPr>
              <w:tblStyle w:val="31"/>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9"/>
              <w:gridCol w:w="1150"/>
              <w:gridCol w:w="1738"/>
              <w:gridCol w:w="3721"/>
              <w:gridCol w:w="11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476" w:type="pct"/>
                  <w:noWrap w:val="0"/>
                  <w:vAlign w:val="center"/>
                </w:tcPr>
                <w:p>
                  <w:pPr>
                    <w:pStyle w:val="38"/>
                    <w:bidi w:val="0"/>
                    <w:rPr>
                      <w:u w:val="single"/>
                    </w:rPr>
                  </w:pPr>
                  <w:r>
                    <w:rPr>
                      <w:u w:val="single"/>
                    </w:rPr>
                    <w:t>工程阶段</w:t>
                  </w:r>
                </w:p>
              </w:tc>
              <w:tc>
                <w:tcPr>
                  <w:tcW w:w="1680" w:type="pct"/>
                  <w:gridSpan w:val="2"/>
                  <w:noWrap w:val="0"/>
                  <w:vAlign w:val="center"/>
                </w:tcPr>
                <w:p>
                  <w:pPr>
                    <w:pStyle w:val="38"/>
                    <w:bidi w:val="0"/>
                    <w:rPr>
                      <w:u w:val="single"/>
                    </w:rPr>
                  </w:pPr>
                  <w:r>
                    <w:rPr>
                      <w:u w:val="single"/>
                    </w:rPr>
                    <w:t>项目</w:t>
                  </w:r>
                </w:p>
              </w:tc>
              <w:tc>
                <w:tcPr>
                  <w:tcW w:w="2164" w:type="pct"/>
                  <w:noWrap w:val="0"/>
                  <w:vAlign w:val="center"/>
                </w:tcPr>
                <w:p>
                  <w:pPr>
                    <w:pStyle w:val="38"/>
                    <w:bidi w:val="0"/>
                    <w:rPr>
                      <w:u w:val="single"/>
                    </w:rPr>
                  </w:pPr>
                  <w:r>
                    <w:rPr>
                      <w:u w:val="single"/>
                    </w:rPr>
                    <w:t>防治措施</w:t>
                  </w:r>
                </w:p>
              </w:tc>
              <w:tc>
                <w:tcPr>
                  <w:tcW w:w="678" w:type="pct"/>
                  <w:noWrap w:val="0"/>
                  <w:vAlign w:val="center"/>
                </w:tcPr>
                <w:p>
                  <w:pPr>
                    <w:pStyle w:val="38"/>
                    <w:bidi w:val="0"/>
                    <w:rPr>
                      <w:u w:val="single"/>
                    </w:rPr>
                  </w:pPr>
                  <w:r>
                    <w:rPr>
                      <w:u w:val="single"/>
                    </w:rPr>
                    <w:t>投资估算</w:t>
                  </w:r>
                </w:p>
                <w:p>
                  <w:pPr>
                    <w:pStyle w:val="38"/>
                    <w:bidi w:val="0"/>
                    <w:rPr>
                      <w:u w:val="single"/>
                    </w:rPr>
                  </w:pPr>
                  <w:r>
                    <w:rPr>
                      <w:u w:val="single"/>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9" w:hRule="atLeast"/>
                <w:jc w:val="center"/>
              </w:trPr>
              <w:tc>
                <w:tcPr>
                  <w:tcW w:w="476" w:type="pct"/>
                  <w:vMerge w:val="restart"/>
                  <w:noWrap w:val="0"/>
                  <w:vAlign w:val="center"/>
                </w:tcPr>
                <w:p>
                  <w:pPr>
                    <w:pStyle w:val="38"/>
                    <w:bidi w:val="0"/>
                    <w:rPr>
                      <w:u w:val="single"/>
                    </w:rPr>
                  </w:pPr>
                  <w:r>
                    <w:rPr>
                      <w:u w:val="single"/>
                    </w:rPr>
                    <w:t>施</w:t>
                  </w:r>
                </w:p>
                <w:p>
                  <w:pPr>
                    <w:pStyle w:val="38"/>
                    <w:bidi w:val="0"/>
                    <w:rPr>
                      <w:u w:val="single"/>
                    </w:rPr>
                  </w:pPr>
                  <w:r>
                    <w:rPr>
                      <w:u w:val="single"/>
                    </w:rPr>
                    <w:t>工</w:t>
                  </w:r>
                </w:p>
                <w:p>
                  <w:pPr>
                    <w:pStyle w:val="38"/>
                    <w:bidi w:val="0"/>
                    <w:rPr>
                      <w:u w:val="single"/>
                    </w:rPr>
                  </w:pPr>
                  <w:r>
                    <w:rPr>
                      <w:u w:val="single"/>
                    </w:rPr>
                    <w:t>期</w:t>
                  </w:r>
                </w:p>
              </w:tc>
              <w:tc>
                <w:tcPr>
                  <w:tcW w:w="668" w:type="pct"/>
                  <w:noWrap w:val="0"/>
                  <w:vAlign w:val="center"/>
                </w:tcPr>
                <w:p>
                  <w:pPr>
                    <w:pStyle w:val="38"/>
                    <w:bidi w:val="0"/>
                    <w:rPr>
                      <w:u w:val="single"/>
                    </w:rPr>
                  </w:pPr>
                  <w:r>
                    <w:rPr>
                      <w:u w:val="single"/>
                    </w:rPr>
                    <w:t>废水处理</w:t>
                  </w:r>
                </w:p>
              </w:tc>
              <w:tc>
                <w:tcPr>
                  <w:tcW w:w="1011" w:type="pct"/>
                  <w:noWrap w:val="0"/>
                  <w:vAlign w:val="center"/>
                </w:tcPr>
                <w:p>
                  <w:pPr>
                    <w:pStyle w:val="38"/>
                    <w:bidi w:val="0"/>
                    <w:rPr>
                      <w:u w:val="single"/>
                    </w:rPr>
                  </w:pPr>
                  <w:r>
                    <w:rPr>
                      <w:u w:val="single"/>
                    </w:rPr>
                    <w:t>施工废水</w:t>
                  </w:r>
                </w:p>
              </w:tc>
              <w:tc>
                <w:tcPr>
                  <w:tcW w:w="2164" w:type="pct"/>
                  <w:noWrap w:val="0"/>
                  <w:vAlign w:val="center"/>
                </w:tcPr>
                <w:p>
                  <w:pPr>
                    <w:pStyle w:val="38"/>
                    <w:bidi w:val="0"/>
                    <w:rPr>
                      <w:rFonts w:hint="eastAsia" w:eastAsia="宋体"/>
                      <w:u w:val="single"/>
                      <w:lang w:eastAsia="zh-CN"/>
                    </w:rPr>
                  </w:pPr>
                  <w:r>
                    <w:rPr>
                      <w:rFonts w:hint="eastAsia"/>
                      <w:u w:val="single"/>
                      <w:lang w:eastAsia="zh-CN"/>
                    </w:rPr>
                    <w:t>沉沙池、排水沟</w:t>
                  </w:r>
                </w:p>
              </w:tc>
              <w:tc>
                <w:tcPr>
                  <w:tcW w:w="678" w:type="pct"/>
                  <w:noWrap w:val="0"/>
                  <w:vAlign w:val="center"/>
                </w:tcPr>
                <w:p>
                  <w:pPr>
                    <w:pStyle w:val="38"/>
                    <w:bidi w:val="0"/>
                    <w:rPr>
                      <w:u w:val="single"/>
                    </w:rPr>
                  </w:pPr>
                  <w:r>
                    <w:rPr>
                      <w:u w:val="single"/>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9" w:hRule="atLeast"/>
                <w:jc w:val="center"/>
              </w:trPr>
              <w:tc>
                <w:tcPr>
                  <w:tcW w:w="476" w:type="pct"/>
                  <w:vMerge w:val="continue"/>
                  <w:noWrap w:val="0"/>
                  <w:vAlign w:val="center"/>
                </w:tcPr>
                <w:p>
                  <w:pPr>
                    <w:pStyle w:val="38"/>
                    <w:bidi w:val="0"/>
                    <w:rPr>
                      <w:u w:val="single"/>
                    </w:rPr>
                  </w:pPr>
                </w:p>
              </w:tc>
              <w:tc>
                <w:tcPr>
                  <w:tcW w:w="668" w:type="pct"/>
                  <w:vMerge w:val="restart"/>
                  <w:noWrap w:val="0"/>
                  <w:vAlign w:val="center"/>
                </w:tcPr>
                <w:p>
                  <w:pPr>
                    <w:pStyle w:val="38"/>
                    <w:bidi w:val="0"/>
                    <w:rPr>
                      <w:u w:val="single"/>
                    </w:rPr>
                  </w:pPr>
                  <w:r>
                    <w:rPr>
                      <w:u w:val="single"/>
                    </w:rPr>
                    <w:t>废气处理</w:t>
                  </w:r>
                </w:p>
              </w:tc>
              <w:tc>
                <w:tcPr>
                  <w:tcW w:w="1011" w:type="pct"/>
                  <w:noWrap w:val="0"/>
                  <w:vAlign w:val="center"/>
                </w:tcPr>
                <w:p>
                  <w:pPr>
                    <w:pStyle w:val="38"/>
                    <w:bidi w:val="0"/>
                    <w:rPr>
                      <w:u w:val="single"/>
                    </w:rPr>
                  </w:pPr>
                  <w:r>
                    <w:rPr>
                      <w:u w:val="single"/>
                    </w:rPr>
                    <w:t>扬尘</w:t>
                  </w:r>
                </w:p>
              </w:tc>
              <w:tc>
                <w:tcPr>
                  <w:tcW w:w="2164" w:type="pct"/>
                  <w:noWrap w:val="0"/>
                  <w:vAlign w:val="center"/>
                </w:tcPr>
                <w:p>
                  <w:pPr>
                    <w:pStyle w:val="38"/>
                    <w:bidi w:val="0"/>
                    <w:rPr>
                      <w:u w:val="single"/>
                    </w:rPr>
                  </w:pPr>
                  <w:r>
                    <w:rPr>
                      <w:u w:val="single"/>
                    </w:rPr>
                    <w:t>设置围栏、道路硬化、防尘网</w:t>
                  </w:r>
                </w:p>
              </w:tc>
              <w:tc>
                <w:tcPr>
                  <w:tcW w:w="678" w:type="pct"/>
                  <w:vMerge w:val="restart"/>
                  <w:noWrap w:val="0"/>
                  <w:vAlign w:val="center"/>
                </w:tcPr>
                <w:p>
                  <w:pPr>
                    <w:pStyle w:val="38"/>
                    <w:bidi w:val="0"/>
                    <w:rPr>
                      <w:rFonts w:hint="eastAsia" w:eastAsia="宋体"/>
                      <w:u w:val="single"/>
                      <w:lang w:eastAsia="zh-CN"/>
                    </w:rPr>
                  </w:pPr>
                  <w:r>
                    <w:rPr>
                      <w:rFonts w:hint="eastAsia"/>
                      <w:u w:val="singl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9" w:hRule="atLeast"/>
                <w:jc w:val="center"/>
              </w:trPr>
              <w:tc>
                <w:tcPr>
                  <w:tcW w:w="476" w:type="pct"/>
                  <w:vMerge w:val="continue"/>
                  <w:noWrap w:val="0"/>
                  <w:vAlign w:val="center"/>
                </w:tcPr>
                <w:p>
                  <w:pPr>
                    <w:pStyle w:val="38"/>
                    <w:bidi w:val="0"/>
                    <w:rPr>
                      <w:u w:val="single"/>
                    </w:rPr>
                  </w:pPr>
                </w:p>
              </w:tc>
              <w:tc>
                <w:tcPr>
                  <w:tcW w:w="668" w:type="pct"/>
                  <w:vMerge w:val="continue"/>
                  <w:noWrap w:val="0"/>
                  <w:vAlign w:val="center"/>
                </w:tcPr>
                <w:p>
                  <w:pPr>
                    <w:pStyle w:val="38"/>
                    <w:bidi w:val="0"/>
                    <w:rPr>
                      <w:u w:val="single"/>
                    </w:rPr>
                  </w:pPr>
                </w:p>
              </w:tc>
              <w:tc>
                <w:tcPr>
                  <w:tcW w:w="1011" w:type="pct"/>
                  <w:noWrap w:val="0"/>
                  <w:vAlign w:val="center"/>
                </w:tcPr>
                <w:p>
                  <w:pPr>
                    <w:pStyle w:val="38"/>
                    <w:bidi w:val="0"/>
                    <w:rPr>
                      <w:u w:val="single"/>
                    </w:rPr>
                  </w:pPr>
                  <w:r>
                    <w:rPr>
                      <w:u w:val="single"/>
                    </w:rPr>
                    <w:t>装修废气</w:t>
                  </w:r>
                </w:p>
              </w:tc>
              <w:tc>
                <w:tcPr>
                  <w:tcW w:w="2164" w:type="pct"/>
                  <w:noWrap w:val="0"/>
                  <w:vAlign w:val="center"/>
                </w:tcPr>
                <w:p>
                  <w:pPr>
                    <w:pStyle w:val="38"/>
                    <w:bidi w:val="0"/>
                    <w:rPr>
                      <w:u w:val="single"/>
                    </w:rPr>
                  </w:pPr>
                  <w:r>
                    <w:rPr>
                      <w:u w:val="single"/>
                    </w:rPr>
                    <w:t>环保材料</w:t>
                  </w:r>
                </w:p>
              </w:tc>
              <w:tc>
                <w:tcPr>
                  <w:tcW w:w="678" w:type="pct"/>
                  <w:vMerge w:val="continue"/>
                  <w:noWrap w:val="0"/>
                  <w:vAlign w:val="center"/>
                </w:tcPr>
                <w:p>
                  <w:pPr>
                    <w:pStyle w:val="38"/>
                    <w:bidi w:val="0"/>
                    <w:rPr>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9" w:hRule="atLeast"/>
                <w:jc w:val="center"/>
              </w:trPr>
              <w:tc>
                <w:tcPr>
                  <w:tcW w:w="476" w:type="pct"/>
                  <w:vMerge w:val="continue"/>
                  <w:noWrap w:val="0"/>
                  <w:vAlign w:val="center"/>
                </w:tcPr>
                <w:p>
                  <w:pPr>
                    <w:pStyle w:val="38"/>
                    <w:bidi w:val="0"/>
                    <w:rPr>
                      <w:u w:val="single"/>
                    </w:rPr>
                  </w:pPr>
                </w:p>
              </w:tc>
              <w:tc>
                <w:tcPr>
                  <w:tcW w:w="668" w:type="pct"/>
                  <w:noWrap w:val="0"/>
                  <w:vAlign w:val="center"/>
                </w:tcPr>
                <w:p>
                  <w:pPr>
                    <w:pStyle w:val="38"/>
                    <w:bidi w:val="0"/>
                    <w:rPr>
                      <w:u w:val="single"/>
                    </w:rPr>
                  </w:pPr>
                  <w:r>
                    <w:rPr>
                      <w:u w:val="single"/>
                    </w:rPr>
                    <w:t>噪声处理</w:t>
                  </w:r>
                </w:p>
              </w:tc>
              <w:tc>
                <w:tcPr>
                  <w:tcW w:w="1011" w:type="pct"/>
                  <w:noWrap w:val="0"/>
                  <w:vAlign w:val="center"/>
                </w:tcPr>
                <w:p>
                  <w:pPr>
                    <w:pStyle w:val="38"/>
                    <w:bidi w:val="0"/>
                    <w:rPr>
                      <w:u w:val="single"/>
                    </w:rPr>
                  </w:pPr>
                  <w:r>
                    <w:rPr>
                      <w:u w:val="single"/>
                    </w:rPr>
                    <w:t>施工噪声</w:t>
                  </w:r>
                </w:p>
              </w:tc>
              <w:tc>
                <w:tcPr>
                  <w:tcW w:w="2164" w:type="pct"/>
                  <w:noWrap w:val="0"/>
                  <w:vAlign w:val="center"/>
                </w:tcPr>
                <w:p>
                  <w:pPr>
                    <w:pStyle w:val="38"/>
                    <w:bidi w:val="0"/>
                    <w:rPr>
                      <w:u w:val="single"/>
                    </w:rPr>
                  </w:pPr>
                  <w:r>
                    <w:rPr>
                      <w:u w:val="single"/>
                    </w:rPr>
                    <w:t>选用低噪声设备、消声、设置围挡等</w:t>
                  </w:r>
                </w:p>
              </w:tc>
              <w:tc>
                <w:tcPr>
                  <w:tcW w:w="678" w:type="pct"/>
                  <w:noWrap w:val="0"/>
                  <w:vAlign w:val="center"/>
                </w:tcPr>
                <w:p>
                  <w:pPr>
                    <w:pStyle w:val="38"/>
                    <w:bidi w:val="0"/>
                    <w:rPr>
                      <w:rFonts w:hint="eastAsia" w:eastAsia="宋体"/>
                      <w:u w:val="single"/>
                      <w:lang w:eastAsia="zh-CN"/>
                    </w:rPr>
                  </w:pPr>
                  <w:r>
                    <w:rPr>
                      <w:rFonts w:hint="eastAsia"/>
                      <w:u w:val="singl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0" w:hRule="atLeast"/>
                <w:jc w:val="center"/>
              </w:trPr>
              <w:tc>
                <w:tcPr>
                  <w:tcW w:w="476" w:type="pct"/>
                  <w:vMerge w:val="continue"/>
                  <w:noWrap w:val="0"/>
                  <w:vAlign w:val="center"/>
                </w:tcPr>
                <w:p>
                  <w:pPr>
                    <w:pStyle w:val="38"/>
                    <w:bidi w:val="0"/>
                    <w:rPr>
                      <w:u w:val="single"/>
                    </w:rPr>
                  </w:pPr>
                </w:p>
              </w:tc>
              <w:tc>
                <w:tcPr>
                  <w:tcW w:w="668" w:type="pct"/>
                  <w:noWrap w:val="0"/>
                  <w:vAlign w:val="center"/>
                </w:tcPr>
                <w:p>
                  <w:pPr>
                    <w:pStyle w:val="38"/>
                    <w:bidi w:val="0"/>
                    <w:rPr>
                      <w:u w:val="single"/>
                    </w:rPr>
                  </w:pPr>
                  <w:r>
                    <w:rPr>
                      <w:u w:val="single"/>
                    </w:rPr>
                    <w:t>固废处理</w:t>
                  </w:r>
                </w:p>
              </w:tc>
              <w:tc>
                <w:tcPr>
                  <w:tcW w:w="1011" w:type="pct"/>
                  <w:noWrap w:val="0"/>
                  <w:vAlign w:val="center"/>
                </w:tcPr>
                <w:p>
                  <w:pPr>
                    <w:pStyle w:val="38"/>
                    <w:bidi w:val="0"/>
                    <w:rPr>
                      <w:u w:val="single"/>
                    </w:rPr>
                  </w:pPr>
                  <w:r>
                    <w:rPr>
                      <w:u w:val="single"/>
                    </w:rPr>
                    <w:t>土石方、建筑垃圾、生活垃圾</w:t>
                  </w:r>
                </w:p>
              </w:tc>
              <w:tc>
                <w:tcPr>
                  <w:tcW w:w="2164" w:type="pct"/>
                  <w:noWrap w:val="0"/>
                  <w:vAlign w:val="center"/>
                </w:tcPr>
                <w:p>
                  <w:pPr>
                    <w:pStyle w:val="38"/>
                    <w:bidi w:val="0"/>
                    <w:rPr>
                      <w:u w:val="single"/>
                    </w:rPr>
                  </w:pPr>
                  <w:r>
                    <w:rPr>
                      <w:u w:val="single"/>
                    </w:rPr>
                    <w:t>无害化处理</w:t>
                  </w:r>
                </w:p>
              </w:tc>
              <w:tc>
                <w:tcPr>
                  <w:tcW w:w="678" w:type="pct"/>
                  <w:noWrap w:val="0"/>
                  <w:vAlign w:val="center"/>
                </w:tcPr>
                <w:p>
                  <w:pPr>
                    <w:pStyle w:val="38"/>
                    <w:bidi w:val="0"/>
                    <w:rPr>
                      <w:rFonts w:hint="eastAsia" w:eastAsia="宋体"/>
                      <w:u w:val="single"/>
                      <w:lang w:eastAsia="zh-CN"/>
                    </w:rPr>
                  </w:pPr>
                  <w:r>
                    <w:rPr>
                      <w:rFonts w:hint="eastAsia"/>
                      <w:u w:val="singl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476" w:type="pct"/>
                  <w:vMerge w:val="restart"/>
                  <w:noWrap w:val="0"/>
                  <w:vAlign w:val="center"/>
                </w:tcPr>
                <w:p>
                  <w:pPr>
                    <w:pStyle w:val="38"/>
                    <w:bidi w:val="0"/>
                    <w:rPr>
                      <w:u w:val="single"/>
                    </w:rPr>
                  </w:pPr>
                  <w:r>
                    <w:rPr>
                      <w:u w:val="single"/>
                    </w:rPr>
                    <w:t>营</w:t>
                  </w:r>
                </w:p>
                <w:p>
                  <w:pPr>
                    <w:pStyle w:val="38"/>
                    <w:bidi w:val="0"/>
                    <w:rPr>
                      <w:u w:val="single"/>
                    </w:rPr>
                  </w:pPr>
                  <w:r>
                    <w:rPr>
                      <w:u w:val="single"/>
                    </w:rPr>
                    <w:t>运</w:t>
                  </w:r>
                </w:p>
                <w:p>
                  <w:pPr>
                    <w:pStyle w:val="38"/>
                    <w:bidi w:val="0"/>
                    <w:rPr>
                      <w:u w:val="single"/>
                    </w:rPr>
                  </w:pPr>
                  <w:r>
                    <w:rPr>
                      <w:u w:val="single"/>
                    </w:rPr>
                    <w:t>期</w:t>
                  </w:r>
                </w:p>
              </w:tc>
              <w:tc>
                <w:tcPr>
                  <w:tcW w:w="668" w:type="pct"/>
                  <w:noWrap w:val="0"/>
                  <w:vAlign w:val="center"/>
                </w:tcPr>
                <w:p>
                  <w:pPr>
                    <w:pStyle w:val="38"/>
                    <w:bidi w:val="0"/>
                    <w:rPr>
                      <w:u w:val="single"/>
                    </w:rPr>
                  </w:pPr>
                  <w:r>
                    <w:rPr>
                      <w:u w:val="single"/>
                    </w:rPr>
                    <w:t>废气处理</w:t>
                  </w:r>
                </w:p>
              </w:tc>
              <w:tc>
                <w:tcPr>
                  <w:tcW w:w="1011" w:type="pct"/>
                  <w:noWrap w:val="0"/>
                  <w:vAlign w:val="center"/>
                </w:tcPr>
                <w:p>
                  <w:pPr>
                    <w:pStyle w:val="38"/>
                    <w:bidi w:val="0"/>
                    <w:rPr>
                      <w:rFonts w:hint="eastAsia" w:eastAsia="宋体"/>
                      <w:u w:val="single"/>
                      <w:lang w:eastAsia="zh-CN"/>
                    </w:rPr>
                  </w:pPr>
                  <w:r>
                    <w:rPr>
                      <w:rFonts w:hint="eastAsia"/>
                      <w:u w:val="single"/>
                      <w:lang w:eastAsia="zh-CN"/>
                    </w:rPr>
                    <w:t>垃圾臭气、渗滤液臭气</w:t>
                  </w:r>
                </w:p>
              </w:tc>
              <w:tc>
                <w:tcPr>
                  <w:tcW w:w="2164" w:type="pct"/>
                  <w:noWrap w:val="0"/>
                  <w:vAlign w:val="center"/>
                </w:tcPr>
                <w:p>
                  <w:pPr>
                    <w:pStyle w:val="38"/>
                    <w:bidi w:val="0"/>
                    <w:rPr>
                      <w:rFonts w:hint="eastAsia" w:eastAsia="宋体"/>
                      <w:u w:val="single"/>
                      <w:lang w:eastAsia="zh-CN"/>
                    </w:rPr>
                  </w:pPr>
                  <w:r>
                    <w:rPr>
                      <w:rFonts w:hint="eastAsia"/>
                      <w:u w:val="single"/>
                      <w:lang w:eastAsia="zh-CN"/>
                    </w:rPr>
                    <w:t>高效生物吸附塔</w:t>
                  </w:r>
                  <w:r>
                    <w:rPr>
                      <w:rFonts w:hint="eastAsia"/>
                      <w:u w:val="single"/>
                      <w:lang w:val="en-US" w:eastAsia="zh-CN"/>
                    </w:rPr>
                    <w:t>+</w:t>
                  </w:r>
                  <w:r>
                    <w:rPr>
                      <w:rFonts w:hint="eastAsia"/>
                      <w:u w:val="single"/>
                    </w:rPr>
                    <w:t>1</w:t>
                  </w:r>
                  <w:r>
                    <w:rPr>
                      <w:u w:val="single"/>
                    </w:rPr>
                    <w:t>5m</w:t>
                  </w:r>
                  <w:r>
                    <w:rPr>
                      <w:rFonts w:hint="eastAsia"/>
                      <w:u w:val="single"/>
                    </w:rPr>
                    <w:t>排气筒</w:t>
                  </w:r>
                  <w:r>
                    <w:rPr>
                      <w:rFonts w:hint="eastAsia"/>
                      <w:u w:val="single"/>
                      <w:lang w:eastAsia="zh-CN"/>
                    </w:rPr>
                    <w:t>、空间异味喷淋系统</w:t>
                  </w:r>
                </w:p>
              </w:tc>
              <w:tc>
                <w:tcPr>
                  <w:tcW w:w="678" w:type="pct"/>
                  <w:noWrap w:val="0"/>
                  <w:vAlign w:val="center"/>
                </w:tcPr>
                <w:p>
                  <w:pPr>
                    <w:pStyle w:val="38"/>
                    <w:bidi w:val="0"/>
                    <w:rPr>
                      <w:rFonts w:hint="default" w:eastAsia="宋体"/>
                      <w:u w:val="single"/>
                      <w:lang w:val="en-US" w:eastAsia="zh-CN"/>
                    </w:rPr>
                  </w:pPr>
                  <w:r>
                    <w:rPr>
                      <w:rFonts w:hint="eastAsia"/>
                      <w:u w:val="single"/>
                      <w:lang w:val="en-US" w:eastAsia="zh-CN"/>
                    </w:rPr>
                    <w:t>116.3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9" w:hRule="atLeast"/>
                <w:jc w:val="center"/>
              </w:trPr>
              <w:tc>
                <w:tcPr>
                  <w:tcW w:w="476" w:type="pct"/>
                  <w:vMerge w:val="continue"/>
                  <w:noWrap w:val="0"/>
                  <w:vAlign w:val="center"/>
                </w:tcPr>
                <w:p>
                  <w:pPr>
                    <w:pStyle w:val="38"/>
                    <w:bidi w:val="0"/>
                    <w:rPr>
                      <w:u w:val="single"/>
                    </w:rPr>
                  </w:pPr>
                </w:p>
              </w:tc>
              <w:tc>
                <w:tcPr>
                  <w:tcW w:w="668" w:type="pct"/>
                  <w:vMerge w:val="restart"/>
                  <w:noWrap w:val="0"/>
                  <w:vAlign w:val="center"/>
                </w:tcPr>
                <w:p>
                  <w:pPr>
                    <w:pStyle w:val="38"/>
                    <w:bidi w:val="0"/>
                    <w:rPr>
                      <w:u w:val="single"/>
                    </w:rPr>
                  </w:pPr>
                  <w:r>
                    <w:rPr>
                      <w:u w:val="single"/>
                    </w:rPr>
                    <w:t>废水处理</w:t>
                  </w:r>
                </w:p>
              </w:tc>
              <w:tc>
                <w:tcPr>
                  <w:tcW w:w="1011" w:type="pct"/>
                  <w:noWrap w:val="0"/>
                  <w:vAlign w:val="center"/>
                </w:tcPr>
                <w:p>
                  <w:pPr>
                    <w:pStyle w:val="38"/>
                    <w:bidi w:val="0"/>
                    <w:rPr>
                      <w:u w:val="single"/>
                    </w:rPr>
                  </w:pPr>
                  <w:r>
                    <w:rPr>
                      <w:u w:val="single"/>
                    </w:rPr>
                    <w:t>生活废水</w:t>
                  </w:r>
                </w:p>
              </w:tc>
              <w:tc>
                <w:tcPr>
                  <w:tcW w:w="2164" w:type="pct"/>
                  <w:noWrap w:val="0"/>
                  <w:vAlign w:val="center"/>
                </w:tcPr>
                <w:p>
                  <w:pPr>
                    <w:pStyle w:val="38"/>
                    <w:bidi w:val="0"/>
                    <w:rPr>
                      <w:u w:val="single"/>
                    </w:rPr>
                  </w:pPr>
                  <w:r>
                    <w:rPr>
                      <w:u w:val="single"/>
                    </w:rPr>
                    <w:t>化粪池</w:t>
                  </w:r>
                </w:p>
              </w:tc>
              <w:tc>
                <w:tcPr>
                  <w:tcW w:w="678" w:type="pct"/>
                  <w:vMerge w:val="restart"/>
                  <w:noWrap w:val="0"/>
                  <w:vAlign w:val="center"/>
                </w:tcPr>
                <w:p>
                  <w:pPr>
                    <w:pStyle w:val="38"/>
                    <w:bidi w:val="0"/>
                    <w:rPr>
                      <w:rFonts w:hint="default" w:eastAsia="宋体"/>
                      <w:u w:val="single"/>
                      <w:lang w:val="en-US" w:eastAsia="zh-CN"/>
                    </w:rPr>
                  </w:pPr>
                  <w:r>
                    <w:rPr>
                      <w:rFonts w:hint="eastAsia"/>
                      <w:u w:val="single"/>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76" w:type="pct"/>
                  <w:vMerge w:val="continue"/>
                  <w:noWrap w:val="0"/>
                  <w:vAlign w:val="center"/>
                </w:tcPr>
                <w:p>
                  <w:pPr>
                    <w:pStyle w:val="38"/>
                    <w:bidi w:val="0"/>
                    <w:rPr>
                      <w:u w:val="single"/>
                    </w:rPr>
                  </w:pPr>
                </w:p>
              </w:tc>
              <w:tc>
                <w:tcPr>
                  <w:tcW w:w="668" w:type="pct"/>
                  <w:vMerge w:val="continue"/>
                  <w:noWrap w:val="0"/>
                  <w:vAlign w:val="center"/>
                </w:tcPr>
                <w:p>
                  <w:pPr>
                    <w:pStyle w:val="38"/>
                    <w:bidi w:val="0"/>
                    <w:rPr>
                      <w:u w:val="single"/>
                    </w:rPr>
                  </w:pPr>
                </w:p>
              </w:tc>
              <w:tc>
                <w:tcPr>
                  <w:tcW w:w="1011" w:type="pct"/>
                  <w:noWrap w:val="0"/>
                  <w:vAlign w:val="center"/>
                </w:tcPr>
                <w:p>
                  <w:pPr>
                    <w:pStyle w:val="38"/>
                    <w:bidi w:val="0"/>
                    <w:rPr>
                      <w:u w:val="single"/>
                    </w:rPr>
                  </w:pPr>
                  <w:r>
                    <w:rPr>
                      <w:u w:val="single"/>
                    </w:rPr>
                    <w:t>生产废水</w:t>
                  </w:r>
                </w:p>
              </w:tc>
              <w:tc>
                <w:tcPr>
                  <w:tcW w:w="2164" w:type="pct"/>
                  <w:noWrap w:val="0"/>
                  <w:vAlign w:val="center"/>
                </w:tcPr>
                <w:p>
                  <w:pPr>
                    <w:pStyle w:val="38"/>
                    <w:bidi w:val="0"/>
                    <w:rPr>
                      <w:rFonts w:hint="eastAsia" w:eastAsia="宋体"/>
                      <w:u w:val="single"/>
                      <w:lang w:eastAsia="zh-CN"/>
                    </w:rPr>
                  </w:pPr>
                  <w:r>
                    <w:rPr>
                      <w:rFonts w:hint="eastAsia"/>
                      <w:u w:val="single"/>
                      <w:lang w:eastAsia="zh-CN"/>
                    </w:rPr>
                    <w:t>渗滤液真空收集系统、</w:t>
                  </w:r>
                  <w:r>
                    <w:rPr>
                      <w:rFonts w:hint="eastAsia"/>
                      <w:u w:val="single"/>
                    </w:rPr>
                    <w:t>渗滤液池</w:t>
                  </w:r>
                  <w:r>
                    <w:rPr>
                      <w:rFonts w:hint="eastAsia"/>
                      <w:u w:val="single"/>
                      <w:lang w:eastAsia="zh-CN"/>
                    </w:rPr>
                    <w:t>、渗滤液输送管道、水泵</w:t>
                  </w:r>
                </w:p>
              </w:tc>
              <w:tc>
                <w:tcPr>
                  <w:tcW w:w="678" w:type="pct"/>
                  <w:vMerge w:val="continue"/>
                  <w:noWrap w:val="0"/>
                  <w:vAlign w:val="center"/>
                </w:tcPr>
                <w:p>
                  <w:pPr>
                    <w:pStyle w:val="38"/>
                    <w:bidi w:val="0"/>
                    <w:rPr>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76" w:type="pct"/>
                  <w:vMerge w:val="continue"/>
                  <w:noWrap w:val="0"/>
                  <w:vAlign w:val="center"/>
                </w:tcPr>
                <w:p>
                  <w:pPr>
                    <w:pStyle w:val="38"/>
                    <w:bidi w:val="0"/>
                    <w:rPr>
                      <w:u w:val="single"/>
                    </w:rPr>
                  </w:pPr>
                </w:p>
              </w:tc>
              <w:tc>
                <w:tcPr>
                  <w:tcW w:w="668" w:type="pct"/>
                  <w:vMerge w:val="continue"/>
                  <w:noWrap w:val="0"/>
                  <w:vAlign w:val="center"/>
                </w:tcPr>
                <w:p>
                  <w:pPr>
                    <w:pStyle w:val="38"/>
                    <w:bidi w:val="0"/>
                    <w:rPr>
                      <w:u w:val="single"/>
                    </w:rPr>
                  </w:pPr>
                </w:p>
              </w:tc>
              <w:tc>
                <w:tcPr>
                  <w:tcW w:w="1011" w:type="pct"/>
                  <w:noWrap w:val="0"/>
                  <w:vAlign w:val="center"/>
                </w:tcPr>
                <w:p>
                  <w:pPr>
                    <w:pStyle w:val="38"/>
                    <w:bidi w:val="0"/>
                    <w:rPr>
                      <w:rFonts w:hint="eastAsia" w:eastAsia="宋体"/>
                      <w:u w:val="single"/>
                      <w:lang w:eastAsia="zh-CN"/>
                    </w:rPr>
                  </w:pPr>
                  <w:r>
                    <w:rPr>
                      <w:rFonts w:hint="eastAsia"/>
                      <w:u w:val="single"/>
                      <w:lang w:eastAsia="zh-CN"/>
                    </w:rPr>
                    <w:t>初期雨水</w:t>
                  </w:r>
                </w:p>
              </w:tc>
              <w:tc>
                <w:tcPr>
                  <w:tcW w:w="2164" w:type="pct"/>
                  <w:noWrap w:val="0"/>
                  <w:vAlign w:val="center"/>
                </w:tcPr>
                <w:p>
                  <w:pPr>
                    <w:pStyle w:val="38"/>
                    <w:bidi w:val="0"/>
                    <w:rPr>
                      <w:rFonts w:hint="eastAsia"/>
                      <w:u w:val="single"/>
                      <w:lang w:eastAsia="zh-CN"/>
                    </w:rPr>
                  </w:pPr>
                  <w:r>
                    <w:rPr>
                      <w:rFonts w:hint="eastAsia"/>
                      <w:u w:val="single"/>
                      <w:lang w:eastAsia="zh-CN"/>
                    </w:rPr>
                    <w:t>初期雨水池</w:t>
                  </w:r>
                </w:p>
              </w:tc>
              <w:tc>
                <w:tcPr>
                  <w:tcW w:w="678" w:type="pct"/>
                  <w:vMerge w:val="continue"/>
                  <w:noWrap w:val="0"/>
                  <w:vAlign w:val="center"/>
                </w:tcPr>
                <w:p>
                  <w:pPr>
                    <w:pStyle w:val="38"/>
                    <w:bidi w:val="0"/>
                    <w:rPr>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9" w:hRule="atLeast"/>
                <w:jc w:val="center"/>
              </w:trPr>
              <w:tc>
                <w:tcPr>
                  <w:tcW w:w="476" w:type="pct"/>
                  <w:vMerge w:val="continue"/>
                  <w:noWrap w:val="0"/>
                  <w:vAlign w:val="center"/>
                </w:tcPr>
                <w:p>
                  <w:pPr>
                    <w:pStyle w:val="38"/>
                    <w:bidi w:val="0"/>
                    <w:rPr>
                      <w:u w:val="single"/>
                    </w:rPr>
                  </w:pPr>
                </w:p>
              </w:tc>
              <w:tc>
                <w:tcPr>
                  <w:tcW w:w="668" w:type="pct"/>
                  <w:vMerge w:val="restart"/>
                  <w:noWrap w:val="0"/>
                  <w:vAlign w:val="center"/>
                </w:tcPr>
                <w:p>
                  <w:pPr>
                    <w:pStyle w:val="38"/>
                    <w:bidi w:val="0"/>
                    <w:rPr>
                      <w:u w:val="single"/>
                    </w:rPr>
                  </w:pPr>
                  <w:r>
                    <w:rPr>
                      <w:u w:val="single"/>
                    </w:rPr>
                    <w:t>固体废物</w:t>
                  </w:r>
                </w:p>
              </w:tc>
              <w:tc>
                <w:tcPr>
                  <w:tcW w:w="1011" w:type="pct"/>
                  <w:noWrap w:val="0"/>
                  <w:vAlign w:val="center"/>
                </w:tcPr>
                <w:p>
                  <w:pPr>
                    <w:pStyle w:val="38"/>
                    <w:bidi w:val="0"/>
                    <w:rPr>
                      <w:u w:val="single"/>
                    </w:rPr>
                  </w:pPr>
                  <w:r>
                    <w:rPr>
                      <w:u w:val="single"/>
                    </w:rPr>
                    <w:t>生活垃圾</w:t>
                  </w:r>
                </w:p>
              </w:tc>
              <w:tc>
                <w:tcPr>
                  <w:tcW w:w="2164" w:type="pct"/>
                  <w:noWrap w:val="0"/>
                  <w:vAlign w:val="center"/>
                </w:tcPr>
                <w:p>
                  <w:pPr>
                    <w:pStyle w:val="38"/>
                    <w:bidi w:val="0"/>
                    <w:rPr>
                      <w:rFonts w:hint="eastAsia" w:eastAsia="宋体"/>
                      <w:u w:val="single"/>
                      <w:lang w:eastAsia="zh-CN"/>
                    </w:rPr>
                  </w:pPr>
                  <w:r>
                    <w:rPr>
                      <w:rFonts w:hint="eastAsia"/>
                      <w:u w:val="single"/>
                    </w:rPr>
                    <w:t>垃圾桶收集后与收集的生活垃圾一同处理后外运</w:t>
                  </w:r>
                  <w:r>
                    <w:rPr>
                      <w:rFonts w:hint="eastAsia"/>
                      <w:u w:val="single"/>
                      <w:lang w:eastAsia="zh-CN"/>
                    </w:rPr>
                    <w:t>，</w:t>
                  </w:r>
                </w:p>
              </w:tc>
              <w:tc>
                <w:tcPr>
                  <w:tcW w:w="678" w:type="pct"/>
                  <w:vMerge w:val="restart"/>
                  <w:noWrap w:val="0"/>
                  <w:vAlign w:val="center"/>
                </w:tcPr>
                <w:p>
                  <w:pPr>
                    <w:pStyle w:val="38"/>
                    <w:bidi w:val="0"/>
                    <w:rPr>
                      <w:u w:val="single"/>
                    </w:rPr>
                  </w:pPr>
                  <w:r>
                    <w:rPr>
                      <w:u w:val="single"/>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29" w:hRule="atLeast"/>
                <w:jc w:val="center"/>
              </w:trPr>
              <w:tc>
                <w:tcPr>
                  <w:tcW w:w="476" w:type="pct"/>
                  <w:vMerge w:val="continue"/>
                  <w:noWrap w:val="0"/>
                  <w:vAlign w:val="center"/>
                </w:tcPr>
                <w:p>
                  <w:pPr>
                    <w:pStyle w:val="38"/>
                    <w:bidi w:val="0"/>
                    <w:rPr>
                      <w:u w:val="single"/>
                    </w:rPr>
                  </w:pPr>
                </w:p>
              </w:tc>
              <w:tc>
                <w:tcPr>
                  <w:tcW w:w="668" w:type="pct"/>
                  <w:vMerge w:val="continue"/>
                  <w:noWrap w:val="0"/>
                  <w:vAlign w:val="center"/>
                </w:tcPr>
                <w:p>
                  <w:pPr>
                    <w:pStyle w:val="38"/>
                    <w:bidi w:val="0"/>
                    <w:rPr>
                      <w:u w:val="single"/>
                    </w:rPr>
                  </w:pPr>
                </w:p>
              </w:tc>
              <w:tc>
                <w:tcPr>
                  <w:tcW w:w="1011" w:type="pct"/>
                  <w:noWrap w:val="0"/>
                  <w:vAlign w:val="center"/>
                </w:tcPr>
                <w:p>
                  <w:pPr>
                    <w:pStyle w:val="38"/>
                    <w:bidi w:val="0"/>
                    <w:rPr>
                      <w:rFonts w:hint="eastAsia" w:eastAsia="宋体"/>
                      <w:u w:val="single"/>
                      <w:lang w:eastAsia="zh-CN"/>
                    </w:rPr>
                  </w:pPr>
                  <w:r>
                    <w:rPr>
                      <w:rFonts w:hint="eastAsia"/>
                      <w:u w:val="single"/>
                      <w:lang w:eastAsia="zh-CN"/>
                    </w:rPr>
                    <w:t>维修垃圾</w:t>
                  </w:r>
                </w:p>
              </w:tc>
              <w:tc>
                <w:tcPr>
                  <w:tcW w:w="2164" w:type="pct"/>
                  <w:noWrap w:val="0"/>
                  <w:vAlign w:val="center"/>
                </w:tcPr>
                <w:p>
                  <w:pPr>
                    <w:pStyle w:val="38"/>
                    <w:bidi w:val="0"/>
                    <w:rPr>
                      <w:rFonts w:hint="eastAsia"/>
                      <w:u w:val="single"/>
                    </w:rPr>
                  </w:pPr>
                  <w:r>
                    <w:rPr>
                      <w:rFonts w:hint="eastAsia"/>
                      <w:u w:val="single"/>
                      <w:lang w:eastAsia="zh-CN"/>
                    </w:rPr>
                    <w:t>危废暂存间</w:t>
                  </w:r>
                </w:p>
              </w:tc>
              <w:tc>
                <w:tcPr>
                  <w:tcW w:w="678" w:type="pct"/>
                  <w:vMerge w:val="continue"/>
                  <w:noWrap w:val="0"/>
                  <w:vAlign w:val="center"/>
                </w:tcPr>
                <w:p>
                  <w:pPr>
                    <w:pStyle w:val="38"/>
                    <w:bidi w:val="0"/>
                    <w:rPr>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9" w:hRule="atLeast"/>
                <w:jc w:val="center"/>
              </w:trPr>
              <w:tc>
                <w:tcPr>
                  <w:tcW w:w="476" w:type="pct"/>
                  <w:vMerge w:val="continue"/>
                  <w:noWrap w:val="0"/>
                  <w:vAlign w:val="center"/>
                </w:tcPr>
                <w:p>
                  <w:pPr>
                    <w:pStyle w:val="38"/>
                    <w:bidi w:val="0"/>
                    <w:rPr>
                      <w:u w:val="single"/>
                    </w:rPr>
                  </w:pPr>
                </w:p>
              </w:tc>
              <w:tc>
                <w:tcPr>
                  <w:tcW w:w="668" w:type="pct"/>
                  <w:noWrap w:val="0"/>
                  <w:vAlign w:val="center"/>
                </w:tcPr>
                <w:p>
                  <w:pPr>
                    <w:pStyle w:val="38"/>
                    <w:bidi w:val="0"/>
                    <w:rPr>
                      <w:u w:val="single"/>
                    </w:rPr>
                  </w:pPr>
                  <w:r>
                    <w:rPr>
                      <w:u w:val="single"/>
                    </w:rPr>
                    <w:t>噪声处理</w:t>
                  </w:r>
                </w:p>
              </w:tc>
              <w:tc>
                <w:tcPr>
                  <w:tcW w:w="1011" w:type="pct"/>
                  <w:noWrap w:val="0"/>
                  <w:vAlign w:val="center"/>
                </w:tcPr>
                <w:p>
                  <w:pPr>
                    <w:pStyle w:val="38"/>
                    <w:bidi w:val="0"/>
                    <w:rPr>
                      <w:u w:val="single"/>
                    </w:rPr>
                  </w:pPr>
                  <w:r>
                    <w:rPr>
                      <w:u w:val="single"/>
                    </w:rPr>
                    <w:t>设备噪声</w:t>
                  </w:r>
                </w:p>
              </w:tc>
              <w:tc>
                <w:tcPr>
                  <w:tcW w:w="2164" w:type="pct"/>
                  <w:noWrap w:val="0"/>
                  <w:vAlign w:val="center"/>
                </w:tcPr>
                <w:p>
                  <w:pPr>
                    <w:pStyle w:val="38"/>
                    <w:bidi w:val="0"/>
                    <w:rPr>
                      <w:u w:val="single"/>
                    </w:rPr>
                  </w:pPr>
                  <w:r>
                    <w:rPr>
                      <w:u w:val="single"/>
                    </w:rPr>
                    <w:t>吸声、隔声墙体</w:t>
                  </w:r>
                </w:p>
              </w:tc>
              <w:tc>
                <w:tcPr>
                  <w:tcW w:w="678" w:type="pct"/>
                  <w:vMerge w:val="continue"/>
                  <w:noWrap w:val="0"/>
                  <w:vAlign w:val="center"/>
                </w:tcPr>
                <w:p>
                  <w:pPr>
                    <w:pStyle w:val="38"/>
                    <w:bidi w:val="0"/>
                    <w:rPr>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9" w:hRule="atLeast"/>
                <w:jc w:val="center"/>
              </w:trPr>
              <w:tc>
                <w:tcPr>
                  <w:tcW w:w="476" w:type="pct"/>
                  <w:vMerge w:val="continue"/>
                  <w:noWrap w:val="0"/>
                  <w:vAlign w:val="center"/>
                </w:tcPr>
                <w:p>
                  <w:pPr>
                    <w:pStyle w:val="38"/>
                    <w:bidi w:val="0"/>
                    <w:rPr>
                      <w:u w:val="single"/>
                    </w:rPr>
                  </w:pPr>
                </w:p>
              </w:tc>
              <w:tc>
                <w:tcPr>
                  <w:tcW w:w="1680" w:type="pct"/>
                  <w:gridSpan w:val="2"/>
                  <w:noWrap w:val="0"/>
                  <w:vAlign w:val="center"/>
                </w:tcPr>
                <w:p>
                  <w:pPr>
                    <w:pStyle w:val="38"/>
                    <w:bidi w:val="0"/>
                    <w:rPr>
                      <w:u w:val="single"/>
                    </w:rPr>
                  </w:pPr>
                  <w:r>
                    <w:rPr>
                      <w:u w:val="single"/>
                    </w:rPr>
                    <w:t>绿化</w:t>
                  </w:r>
                </w:p>
              </w:tc>
              <w:tc>
                <w:tcPr>
                  <w:tcW w:w="2164" w:type="pct"/>
                  <w:noWrap w:val="0"/>
                  <w:vAlign w:val="center"/>
                </w:tcPr>
                <w:p>
                  <w:pPr>
                    <w:pStyle w:val="38"/>
                    <w:bidi w:val="0"/>
                    <w:rPr>
                      <w:u w:val="single"/>
                    </w:rPr>
                  </w:pPr>
                  <w:r>
                    <w:rPr>
                      <w:u w:val="single"/>
                    </w:rPr>
                    <w:t>种植花草、树木</w:t>
                  </w:r>
                </w:p>
              </w:tc>
              <w:tc>
                <w:tcPr>
                  <w:tcW w:w="678" w:type="pct"/>
                  <w:noWrap w:val="0"/>
                  <w:vAlign w:val="center"/>
                </w:tcPr>
                <w:p>
                  <w:pPr>
                    <w:pStyle w:val="38"/>
                    <w:bidi w:val="0"/>
                    <w:rPr>
                      <w:rFonts w:hint="eastAsia" w:eastAsia="宋体"/>
                      <w:u w:val="single"/>
                      <w:lang w:eastAsia="zh-CN"/>
                    </w:rPr>
                  </w:pPr>
                  <w:r>
                    <w:rPr>
                      <w:rFonts w:hint="eastAsia"/>
                      <w:u w:val="singl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9" w:hRule="atLeast"/>
                <w:jc w:val="center"/>
              </w:trPr>
              <w:tc>
                <w:tcPr>
                  <w:tcW w:w="4321" w:type="pct"/>
                  <w:gridSpan w:val="4"/>
                  <w:noWrap w:val="0"/>
                  <w:vAlign w:val="center"/>
                </w:tcPr>
                <w:p>
                  <w:pPr>
                    <w:pStyle w:val="38"/>
                    <w:bidi w:val="0"/>
                    <w:rPr>
                      <w:rFonts w:hint="eastAsia"/>
                      <w:u w:val="single"/>
                    </w:rPr>
                  </w:pPr>
                  <w:r>
                    <w:rPr>
                      <w:u w:val="single"/>
                    </w:rPr>
                    <w:t>合计</w:t>
                  </w:r>
                </w:p>
              </w:tc>
              <w:tc>
                <w:tcPr>
                  <w:tcW w:w="678" w:type="pct"/>
                  <w:noWrap w:val="0"/>
                  <w:vAlign w:val="center"/>
                </w:tcPr>
                <w:p>
                  <w:pPr>
                    <w:pStyle w:val="38"/>
                    <w:bidi w:val="0"/>
                    <w:rPr>
                      <w:rFonts w:hint="default" w:eastAsia="宋体"/>
                      <w:u w:val="single"/>
                      <w:lang w:val="en-US" w:eastAsia="zh-CN"/>
                    </w:rPr>
                  </w:pPr>
                  <w:r>
                    <w:rPr>
                      <w:rFonts w:hint="eastAsia"/>
                      <w:u w:val="single"/>
                      <w:lang w:val="en-US" w:eastAsia="zh-CN"/>
                    </w:rPr>
                    <w:t>157.3</w:t>
                  </w:r>
                </w:p>
              </w:tc>
            </w:tr>
          </w:tbl>
          <w:p>
            <w:pPr>
              <w:pStyle w:val="8"/>
              <w:bidi w:val="0"/>
              <w:ind w:left="0" w:leftChars="0" w:firstLine="0" w:firstLineChars="0"/>
              <w:rPr>
                <w:b/>
                <w:bCs/>
              </w:rPr>
            </w:pPr>
            <w:r>
              <w:rPr>
                <w:rFonts w:hint="eastAsia"/>
                <w:b/>
                <w:bCs/>
                <w:lang w:val="en-US" w:eastAsia="zh-CN"/>
              </w:rPr>
              <w:t>（2）</w:t>
            </w:r>
            <w:r>
              <w:rPr>
                <w:rFonts w:hint="eastAsia"/>
                <w:b/>
                <w:bCs/>
                <w:lang w:val="en-US"/>
              </w:rPr>
              <w:t xml:space="preserve"> </w:t>
            </w:r>
            <w:r>
              <w:rPr>
                <w:b/>
                <w:bCs/>
              </w:rPr>
              <w:t>项目自主验收</w:t>
            </w:r>
          </w:p>
          <w:p>
            <w:pPr>
              <w:ind w:right="120" w:rightChars="50" w:firstLine="480"/>
              <w:jc w:val="both"/>
              <w:rPr>
                <w:rFonts w:cs="Times New Roman"/>
              </w:rPr>
            </w:pPr>
            <w:r>
              <w:rPr>
                <w:rFonts w:cs="Times New Roman"/>
              </w:rPr>
              <w:t>根据自主验收的管理要求，在建设项目竣工环境保护验收中，应首先对环境保护设施进行验收，包括环境保护相关的工程、设备、装置、监测手段等。但在实际的环境管理中，除了这些环境保护设施之外，更重要的是环境管理的软件，即保证环境设施的正常运转、工作和运行的措施，也要同时进行验收和检查。</w:t>
            </w:r>
          </w:p>
          <w:p>
            <w:pPr>
              <w:ind w:right="120" w:rightChars="50" w:firstLine="480"/>
              <w:jc w:val="both"/>
              <w:rPr>
                <w:rFonts w:cs="Times New Roman"/>
              </w:rPr>
            </w:pPr>
            <w:r>
              <w:rPr>
                <w:rFonts w:cs="Times New Roman"/>
              </w:rPr>
              <w:t>验收由建设单位自行组织并按规定报环保部门备案。项目主要环保措施</w:t>
            </w:r>
            <w:r>
              <w:rPr>
                <w:rFonts w:hint="eastAsia" w:cs="Times New Roman"/>
                <w:lang w:eastAsia="zh-CN"/>
              </w:rPr>
              <w:t>“</w:t>
            </w:r>
            <w:r>
              <w:rPr>
                <w:rFonts w:cs="Times New Roman"/>
              </w:rPr>
              <w:t>三同时</w:t>
            </w:r>
            <w:r>
              <w:rPr>
                <w:rFonts w:hint="eastAsia" w:cs="Times New Roman"/>
                <w:lang w:eastAsia="zh-CN"/>
              </w:rPr>
              <w:t>”</w:t>
            </w:r>
            <w:r>
              <w:rPr>
                <w:rFonts w:cs="Times New Roman"/>
              </w:rPr>
              <w:t>竣工验收内容见表</w:t>
            </w:r>
            <w:r>
              <w:rPr>
                <w:rFonts w:hint="eastAsia" w:cs="Times New Roman"/>
                <w:lang w:val="en-US" w:eastAsia="zh-CN"/>
              </w:rPr>
              <w:t>1-8</w:t>
            </w:r>
            <w:r>
              <w:rPr>
                <w:rFonts w:cs="Times New Roman"/>
              </w:rPr>
              <w:t>。</w:t>
            </w:r>
          </w:p>
          <w:p>
            <w:pPr>
              <w:spacing w:line="360" w:lineRule="auto"/>
              <w:ind w:firstLine="482" w:firstLineChars="200"/>
              <w:jc w:val="center"/>
              <w:rPr>
                <w:rFonts w:ascii="Times New Roman" w:hAnsi="Times New Roman"/>
                <w:b/>
                <w:szCs w:val="21"/>
              </w:rPr>
            </w:pPr>
            <w:r>
              <w:rPr>
                <w:rFonts w:ascii="Times New Roman" w:hAnsi="Times New Roman"/>
                <w:b/>
                <w:szCs w:val="21"/>
              </w:rPr>
              <w:t>表</w:t>
            </w:r>
            <w:r>
              <w:rPr>
                <w:rFonts w:hint="eastAsia"/>
                <w:b/>
                <w:szCs w:val="21"/>
                <w:lang w:val="en-US" w:eastAsia="zh-CN"/>
              </w:rPr>
              <w:t>1-8</w:t>
            </w:r>
            <w:r>
              <w:rPr>
                <w:rFonts w:ascii="Times New Roman" w:hAnsi="Times New Roman"/>
                <w:b/>
                <w:szCs w:val="21"/>
              </w:rPr>
              <w:t xml:space="preserve">  </w:t>
            </w:r>
            <w:r>
              <w:rPr>
                <w:rFonts w:hint="eastAsia"/>
                <w:b/>
                <w:szCs w:val="21"/>
                <w:lang w:eastAsia="zh-CN"/>
              </w:rPr>
              <w:t>高峰</w:t>
            </w:r>
            <w:r>
              <w:rPr>
                <w:rFonts w:hint="eastAsia" w:ascii="Times New Roman" w:hAnsi="Times New Roman"/>
                <w:b/>
                <w:szCs w:val="21"/>
              </w:rPr>
              <w:t>垃圾转运站</w:t>
            </w:r>
            <w:r>
              <w:rPr>
                <w:rFonts w:ascii="Times New Roman" w:hAnsi="Times New Roman"/>
                <w:b/>
                <w:szCs w:val="21"/>
              </w:rPr>
              <w:t>项目自主验收一览表</w:t>
            </w:r>
          </w:p>
          <w:tbl>
            <w:tblPr>
              <w:tblStyle w:val="31"/>
              <w:tblW w:w="83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3"/>
              <w:gridCol w:w="1325"/>
              <w:gridCol w:w="2341"/>
              <w:gridCol w:w="1600"/>
              <w:gridCol w:w="23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0" w:hRule="atLeast"/>
                <w:jc w:val="center"/>
              </w:trPr>
              <w:tc>
                <w:tcPr>
                  <w:tcW w:w="723" w:type="dxa"/>
                  <w:noWrap w:val="0"/>
                  <w:vAlign w:val="center"/>
                </w:tcPr>
                <w:p>
                  <w:pPr>
                    <w:pStyle w:val="38"/>
                    <w:bidi w:val="0"/>
                    <w:rPr>
                      <w:u w:val="single"/>
                    </w:rPr>
                  </w:pPr>
                  <w:r>
                    <w:rPr>
                      <w:u w:val="single"/>
                    </w:rPr>
                    <w:t>类别</w:t>
                  </w:r>
                </w:p>
              </w:tc>
              <w:tc>
                <w:tcPr>
                  <w:tcW w:w="1325" w:type="dxa"/>
                  <w:noWrap w:val="0"/>
                  <w:vAlign w:val="center"/>
                </w:tcPr>
                <w:p>
                  <w:pPr>
                    <w:pStyle w:val="38"/>
                    <w:bidi w:val="0"/>
                    <w:rPr>
                      <w:u w:val="single"/>
                    </w:rPr>
                  </w:pPr>
                  <w:r>
                    <w:rPr>
                      <w:u w:val="single"/>
                    </w:rPr>
                    <w:t xml:space="preserve"> 污染源</w:t>
                  </w:r>
                </w:p>
              </w:tc>
              <w:tc>
                <w:tcPr>
                  <w:tcW w:w="2341" w:type="dxa"/>
                  <w:noWrap w:val="0"/>
                  <w:vAlign w:val="center"/>
                </w:tcPr>
                <w:p>
                  <w:pPr>
                    <w:pStyle w:val="38"/>
                    <w:bidi w:val="0"/>
                    <w:rPr>
                      <w:u w:val="single"/>
                    </w:rPr>
                  </w:pPr>
                  <w:r>
                    <w:rPr>
                      <w:u w:val="single"/>
                    </w:rPr>
                    <w:t>治理验收内容</w:t>
                  </w:r>
                </w:p>
              </w:tc>
              <w:tc>
                <w:tcPr>
                  <w:tcW w:w="1600" w:type="dxa"/>
                  <w:noWrap w:val="0"/>
                  <w:vAlign w:val="center"/>
                </w:tcPr>
                <w:p>
                  <w:pPr>
                    <w:pStyle w:val="38"/>
                    <w:bidi w:val="0"/>
                    <w:rPr>
                      <w:u w:val="single"/>
                    </w:rPr>
                  </w:pPr>
                  <w:r>
                    <w:rPr>
                      <w:u w:val="single"/>
                    </w:rPr>
                    <w:t>监测内容</w:t>
                  </w:r>
                </w:p>
              </w:tc>
              <w:tc>
                <w:tcPr>
                  <w:tcW w:w="2349" w:type="dxa"/>
                  <w:noWrap w:val="0"/>
                  <w:vAlign w:val="center"/>
                </w:tcPr>
                <w:p>
                  <w:pPr>
                    <w:pStyle w:val="38"/>
                    <w:bidi w:val="0"/>
                    <w:rPr>
                      <w:u w:val="single"/>
                    </w:rPr>
                  </w:pPr>
                  <w:r>
                    <w:rPr>
                      <w:u w:val="single"/>
                    </w:rPr>
                    <w:t>执行标准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0" w:hRule="atLeast"/>
                <w:jc w:val="center"/>
              </w:trPr>
              <w:tc>
                <w:tcPr>
                  <w:tcW w:w="8338" w:type="dxa"/>
                  <w:gridSpan w:val="5"/>
                  <w:noWrap w:val="0"/>
                  <w:vAlign w:val="center"/>
                </w:tcPr>
                <w:p>
                  <w:pPr>
                    <w:pStyle w:val="38"/>
                    <w:bidi w:val="0"/>
                    <w:rPr>
                      <w:u w:val="single"/>
                    </w:rPr>
                  </w:pPr>
                  <w:r>
                    <w:rPr>
                      <w:u w:val="single"/>
                    </w:rPr>
                    <w:t>施工期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6" w:hRule="atLeast"/>
                <w:jc w:val="center"/>
              </w:trPr>
              <w:tc>
                <w:tcPr>
                  <w:tcW w:w="723" w:type="dxa"/>
                  <w:noWrap w:val="0"/>
                  <w:vAlign w:val="center"/>
                </w:tcPr>
                <w:p>
                  <w:pPr>
                    <w:pStyle w:val="38"/>
                    <w:bidi w:val="0"/>
                    <w:rPr>
                      <w:u w:val="single"/>
                    </w:rPr>
                  </w:pPr>
                  <w:r>
                    <w:rPr>
                      <w:u w:val="single"/>
                    </w:rPr>
                    <w:t>废气</w:t>
                  </w:r>
                </w:p>
              </w:tc>
              <w:tc>
                <w:tcPr>
                  <w:tcW w:w="1325" w:type="dxa"/>
                  <w:noWrap w:val="0"/>
                  <w:vAlign w:val="center"/>
                </w:tcPr>
                <w:p>
                  <w:pPr>
                    <w:pStyle w:val="38"/>
                    <w:bidi w:val="0"/>
                    <w:rPr>
                      <w:rFonts w:hint="eastAsia" w:eastAsia="宋体"/>
                      <w:u w:val="single"/>
                      <w:lang w:eastAsia="zh-CN"/>
                    </w:rPr>
                  </w:pPr>
                  <w:r>
                    <w:rPr>
                      <w:u w:val="single"/>
                    </w:rPr>
                    <w:t>施工扬尘</w:t>
                  </w:r>
                  <w:r>
                    <w:rPr>
                      <w:rFonts w:hint="eastAsia"/>
                      <w:u w:val="single"/>
                      <w:lang w:eastAsia="zh-CN"/>
                    </w:rPr>
                    <w:t>、装修废气</w:t>
                  </w:r>
                </w:p>
              </w:tc>
              <w:tc>
                <w:tcPr>
                  <w:tcW w:w="2341" w:type="dxa"/>
                  <w:noWrap w:val="0"/>
                  <w:vAlign w:val="center"/>
                </w:tcPr>
                <w:p>
                  <w:pPr>
                    <w:pStyle w:val="38"/>
                    <w:bidi w:val="0"/>
                    <w:rPr>
                      <w:rFonts w:hint="eastAsia" w:eastAsia="宋体"/>
                      <w:u w:val="single"/>
                      <w:lang w:eastAsia="zh-CN"/>
                    </w:rPr>
                  </w:pPr>
                  <w:r>
                    <w:rPr>
                      <w:u w:val="single"/>
                    </w:rPr>
                    <w:t>设置围档、防尘网、</w:t>
                  </w:r>
                  <w:r>
                    <w:rPr>
                      <w:rFonts w:hint="eastAsia"/>
                      <w:u w:val="single"/>
                      <w:lang w:eastAsia="zh-CN"/>
                    </w:rPr>
                    <w:t>道路硬化、</w:t>
                  </w:r>
                  <w:r>
                    <w:rPr>
                      <w:u w:val="single"/>
                    </w:rPr>
                    <w:t>洒水设备</w:t>
                  </w:r>
                  <w:r>
                    <w:rPr>
                      <w:rFonts w:hint="eastAsia"/>
                      <w:u w:val="single"/>
                      <w:lang w:eastAsia="zh-CN"/>
                    </w:rPr>
                    <w:t>、通风</w:t>
                  </w:r>
                </w:p>
              </w:tc>
              <w:tc>
                <w:tcPr>
                  <w:tcW w:w="1600" w:type="dxa"/>
                  <w:noWrap w:val="0"/>
                  <w:vAlign w:val="center"/>
                </w:tcPr>
                <w:p>
                  <w:pPr>
                    <w:pStyle w:val="38"/>
                    <w:bidi w:val="0"/>
                    <w:rPr>
                      <w:u w:val="single"/>
                    </w:rPr>
                  </w:pPr>
                  <w:r>
                    <w:rPr>
                      <w:u w:val="single"/>
                    </w:rPr>
                    <w:t>扬尘</w:t>
                  </w:r>
                </w:p>
              </w:tc>
              <w:tc>
                <w:tcPr>
                  <w:tcW w:w="2349" w:type="dxa"/>
                  <w:noWrap w:val="0"/>
                  <w:vAlign w:val="center"/>
                </w:tcPr>
                <w:p>
                  <w:pPr>
                    <w:pStyle w:val="38"/>
                    <w:bidi w:val="0"/>
                    <w:rPr>
                      <w:u w:val="single"/>
                    </w:rPr>
                  </w:pPr>
                  <w:r>
                    <w:rPr>
                      <w:u w:val="single"/>
                    </w:rPr>
                    <w:t>大气污染物综合排放标准（GB16297-1996）中无组织排放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23" w:type="dxa"/>
                  <w:noWrap w:val="0"/>
                  <w:vAlign w:val="center"/>
                </w:tcPr>
                <w:p>
                  <w:pPr>
                    <w:pStyle w:val="38"/>
                    <w:bidi w:val="0"/>
                    <w:rPr>
                      <w:u w:val="single"/>
                    </w:rPr>
                  </w:pPr>
                  <w:r>
                    <w:rPr>
                      <w:u w:val="single"/>
                    </w:rPr>
                    <w:t>废水</w:t>
                  </w:r>
                </w:p>
              </w:tc>
              <w:tc>
                <w:tcPr>
                  <w:tcW w:w="1325" w:type="dxa"/>
                  <w:noWrap w:val="0"/>
                  <w:vAlign w:val="center"/>
                </w:tcPr>
                <w:p>
                  <w:pPr>
                    <w:pStyle w:val="38"/>
                    <w:bidi w:val="0"/>
                    <w:rPr>
                      <w:u w:val="single"/>
                    </w:rPr>
                  </w:pPr>
                  <w:r>
                    <w:rPr>
                      <w:u w:val="single"/>
                    </w:rPr>
                    <w:t>施工废水</w:t>
                  </w:r>
                </w:p>
              </w:tc>
              <w:tc>
                <w:tcPr>
                  <w:tcW w:w="2341" w:type="dxa"/>
                  <w:noWrap w:val="0"/>
                  <w:vAlign w:val="center"/>
                </w:tcPr>
                <w:p>
                  <w:pPr>
                    <w:pStyle w:val="38"/>
                    <w:bidi w:val="0"/>
                    <w:rPr>
                      <w:u w:val="single"/>
                    </w:rPr>
                  </w:pPr>
                  <w:r>
                    <w:rPr>
                      <w:u w:val="single"/>
                    </w:rPr>
                    <w:t>设置</w:t>
                  </w:r>
                  <w:r>
                    <w:rPr>
                      <w:rFonts w:hint="eastAsia"/>
                      <w:u w:val="single"/>
                      <w:lang w:eastAsia="zh-CN"/>
                    </w:rPr>
                    <w:t>沉沙</w:t>
                  </w:r>
                  <w:r>
                    <w:rPr>
                      <w:u w:val="single"/>
                    </w:rPr>
                    <w:t>池、排水沟等</w:t>
                  </w:r>
                </w:p>
              </w:tc>
              <w:tc>
                <w:tcPr>
                  <w:tcW w:w="1600" w:type="dxa"/>
                  <w:noWrap w:val="0"/>
                  <w:vAlign w:val="center"/>
                </w:tcPr>
                <w:p>
                  <w:pPr>
                    <w:pStyle w:val="38"/>
                    <w:bidi w:val="0"/>
                    <w:rPr>
                      <w:u w:val="single"/>
                    </w:rPr>
                  </w:pPr>
                  <w:r>
                    <w:rPr>
                      <w:u w:val="single"/>
                    </w:rPr>
                    <w:t>COD、BOD</w:t>
                  </w:r>
                  <w:r>
                    <w:rPr>
                      <w:rFonts w:hint="eastAsia"/>
                      <w:u w:val="single"/>
                      <w:vertAlign w:val="subscript"/>
                      <w:lang w:val="en-US" w:eastAsia="zh-CN"/>
                    </w:rPr>
                    <w:t>5</w:t>
                  </w:r>
                  <w:r>
                    <w:rPr>
                      <w:u w:val="single"/>
                    </w:rPr>
                    <w:t>、氨氮、SS、悬浮物</w:t>
                  </w:r>
                  <w:r>
                    <w:rPr>
                      <w:rFonts w:hint="eastAsia"/>
                      <w:u w:val="single"/>
                      <w:lang w:eastAsia="zh-CN"/>
                    </w:rPr>
                    <w:t>、</w:t>
                  </w:r>
                  <w:r>
                    <w:rPr>
                      <w:rFonts w:hint="eastAsia"/>
                      <w:u w:val="single"/>
                      <w:lang w:val="en-US" w:eastAsia="zh-CN"/>
                    </w:rPr>
                    <w:t>pH</w:t>
                  </w:r>
                  <w:r>
                    <w:rPr>
                      <w:u w:val="single"/>
                    </w:rPr>
                    <w:t xml:space="preserve"> </w:t>
                  </w:r>
                </w:p>
              </w:tc>
              <w:tc>
                <w:tcPr>
                  <w:tcW w:w="2349" w:type="dxa"/>
                  <w:noWrap w:val="0"/>
                  <w:vAlign w:val="center"/>
                </w:tcPr>
                <w:p>
                  <w:pPr>
                    <w:pStyle w:val="38"/>
                    <w:bidi w:val="0"/>
                    <w:rPr>
                      <w:u w:val="single"/>
                    </w:rPr>
                  </w:pPr>
                  <w:r>
                    <w:rPr>
                      <w:u w:val="single"/>
                    </w:rPr>
                    <w:t>回用不外排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81" w:hRule="atLeast"/>
                <w:jc w:val="center"/>
              </w:trPr>
              <w:tc>
                <w:tcPr>
                  <w:tcW w:w="723" w:type="dxa"/>
                  <w:vMerge w:val="restart"/>
                  <w:noWrap w:val="0"/>
                  <w:vAlign w:val="center"/>
                </w:tcPr>
                <w:p>
                  <w:pPr>
                    <w:pStyle w:val="38"/>
                    <w:bidi w:val="0"/>
                    <w:rPr>
                      <w:u w:val="single"/>
                    </w:rPr>
                  </w:pPr>
                  <w:r>
                    <w:rPr>
                      <w:u w:val="single"/>
                    </w:rPr>
                    <w:t>固废</w:t>
                  </w:r>
                </w:p>
              </w:tc>
              <w:tc>
                <w:tcPr>
                  <w:tcW w:w="1325" w:type="dxa"/>
                  <w:noWrap w:val="0"/>
                  <w:vAlign w:val="center"/>
                </w:tcPr>
                <w:p>
                  <w:pPr>
                    <w:pStyle w:val="38"/>
                    <w:bidi w:val="0"/>
                    <w:rPr>
                      <w:u w:val="single"/>
                    </w:rPr>
                  </w:pPr>
                  <w:r>
                    <w:rPr>
                      <w:u w:val="single"/>
                    </w:rPr>
                    <w:t>建筑垃圾、土石方</w:t>
                  </w:r>
                </w:p>
              </w:tc>
              <w:tc>
                <w:tcPr>
                  <w:tcW w:w="2341" w:type="dxa"/>
                  <w:noWrap w:val="0"/>
                  <w:vAlign w:val="center"/>
                </w:tcPr>
                <w:p>
                  <w:pPr>
                    <w:pStyle w:val="38"/>
                    <w:bidi w:val="0"/>
                    <w:rPr>
                      <w:u w:val="single"/>
                    </w:rPr>
                  </w:pPr>
                  <w:r>
                    <w:rPr>
                      <w:u w:val="single"/>
                    </w:rPr>
                    <w:t>临时堆放点</w:t>
                  </w:r>
                </w:p>
              </w:tc>
              <w:tc>
                <w:tcPr>
                  <w:tcW w:w="1600" w:type="dxa"/>
                  <w:noWrap w:val="0"/>
                  <w:vAlign w:val="center"/>
                </w:tcPr>
                <w:p>
                  <w:pPr>
                    <w:pStyle w:val="38"/>
                    <w:bidi w:val="0"/>
                    <w:rPr>
                      <w:u w:val="single"/>
                    </w:rPr>
                  </w:pPr>
                  <w:r>
                    <w:rPr>
                      <w:u w:val="single"/>
                    </w:rPr>
                    <w:t>安放以及处置情况</w:t>
                  </w:r>
                </w:p>
              </w:tc>
              <w:tc>
                <w:tcPr>
                  <w:tcW w:w="2349" w:type="dxa"/>
                  <w:noWrap w:val="0"/>
                  <w:vAlign w:val="center"/>
                </w:tcPr>
                <w:p>
                  <w:pPr>
                    <w:pStyle w:val="38"/>
                    <w:bidi w:val="0"/>
                    <w:rPr>
                      <w:u w:val="single"/>
                    </w:rPr>
                  </w:pPr>
                  <w:r>
                    <w:rPr>
                      <w:u w:val="single"/>
                    </w:rPr>
                    <w:t>《</w:t>
                  </w:r>
                  <w:r>
                    <w:rPr>
                      <w:rFonts w:hint="eastAsia"/>
                      <w:u w:val="single"/>
                    </w:rPr>
                    <w:t>一般工业固体废物贮存和填埋污染控制标准</w:t>
                  </w:r>
                  <w:r>
                    <w:rPr>
                      <w:u w:val="single"/>
                    </w:rPr>
                    <w:t>》（GB18599-20</w:t>
                  </w:r>
                  <w:r>
                    <w:rPr>
                      <w:rFonts w:hint="eastAsia"/>
                      <w:u w:val="single"/>
                      <w:lang w:val="en-US" w:eastAsia="zh-CN"/>
                    </w:rPr>
                    <w:t>20</w:t>
                  </w:r>
                  <w:r>
                    <w:rPr>
                      <w:u w:val="singl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6" w:hRule="atLeast"/>
                <w:jc w:val="center"/>
              </w:trPr>
              <w:tc>
                <w:tcPr>
                  <w:tcW w:w="723" w:type="dxa"/>
                  <w:vMerge w:val="continue"/>
                  <w:noWrap w:val="0"/>
                  <w:vAlign w:val="center"/>
                </w:tcPr>
                <w:p>
                  <w:pPr>
                    <w:pStyle w:val="38"/>
                    <w:bidi w:val="0"/>
                    <w:rPr>
                      <w:u w:val="single"/>
                    </w:rPr>
                  </w:pPr>
                </w:p>
              </w:tc>
              <w:tc>
                <w:tcPr>
                  <w:tcW w:w="1325" w:type="dxa"/>
                  <w:noWrap w:val="0"/>
                  <w:vAlign w:val="center"/>
                </w:tcPr>
                <w:p>
                  <w:pPr>
                    <w:pStyle w:val="38"/>
                    <w:bidi w:val="0"/>
                    <w:rPr>
                      <w:u w:val="single"/>
                    </w:rPr>
                  </w:pPr>
                  <w:r>
                    <w:rPr>
                      <w:u w:val="single"/>
                    </w:rPr>
                    <w:t>生活垃圾</w:t>
                  </w:r>
                </w:p>
              </w:tc>
              <w:tc>
                <w:tcPr>
                  <w:tcW w:w="2341" w:type="dxa"/>
                  <w:noWrap w:val="0"/>
                  <w:vAlign w:val="center"/>
                </w:tcPr>
                <w:p>
                  <w:pPr>
                    <w:pStyle w:val="38"/>
                    <w:bidi w:val="0"/>
                    <w:rPr>
                      <w:u w:val="single"/>
                    </w:rPr>
                  </w:pPr>
                  <w:r>
                    <w:rPr>
                      <w:u w:val="single"/>
                    </w:rPr>
                    <w:t>垃圾桶/箱</w:t>
                  </w:r>
                </w:p>
              </w:tc>
              <w:tc>
                <w:tcPr>
                  <w:tcW w:w="1600" w:type="dxa"/>
                  <w:noWrap w:val="0"/>
                  <w:vAlign w:val="center"/>
                </w:tcPr>
                <w:p>
                  <w:pPr>
                    <w:pStyle w:val="38"/>
                    <w:bidi w:val="0"/>
                    <w:rPr>
                      <w:u w:val="single"/>
                    </w:rPr>
                  </w:pPr>
                  <w:r>
                    <w:rPr>
                      <w:u w:val="single"/>
                    </w:rPr>
                    <w:t>生活垃圾</w:t>
                  </w:r>
                </w:p>
              </w:tc>
              <w:tc>
                <w:tcPr>
                  <w:tcW w:w="2349" w:type="dxa"/>
                  <w:noWrap w:val="0"/>
                  <w:vAlign w:val="center"/>
                </w:tcPr>
                <w:p>
                  <w:pPr>
                    <w:pStyle w:val="38"/>
                    <w:bidi w:val="0"/>
                    <w:rPr>
                      <w:u w:val="single"/>
                    </w:rPr>
                  </w:pPr>
                  <w:r>
                    <w:rPr>
                      <w:u w:val="single"/>
                    </w:rPr>
                    <w:t>《生活垃圾填埋场污染物控制标准》</w:t>
                  </w:r>
                </w:p>
                <w:p>
                  <w:pPr>
                    <w:pStyle w:val="38"/>
                    <w:bidi w:val="0"/>
                    <w:rPr>
                      <w:u w:val="single"/>
                    </w:rPr>
                  </w:pPr>
                  <w:r>
                    <w:rPr>
                      <w:u w:val="single"/>
                    </w:rPr>
                    <w:t>（GB16889-2008）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89" w:hRule="atLeast"/>
                <w:jc w:val="center"/>
              </w:trPr>
              <w:tc>
                <w:tcPr>
                  <w:tcW w:w="723" w:type="dxa"/>
                  <w:noWrap w:val="0"/>
                  <w:vAlign w:val="center"/>
                </w:tcPr>
                <w:p>
                  <w:pPr>
                    <w:pStyle w:val="38"/>
                    <w:bidi w:val="0"/>
                    <w:rPr>
                      <w:u w:val="single"/>
                    </w:rPr>
                  </w:pPr>
                  <w:r>
                    <w:rPr>
                      <w:u w:val="single"/>
                    </w:rPr>
                    <w:t>噪声</w:t>
                  </w:r>
                </w:p>
              </w:tc>
              <w:tc>
                <w:tcPr>
                  <w:tcW w:w="1325" w:type="dxa"/>
                  <w:noWrap w:val="0"/>
                  <w:vAlign w:val="center"/>
                </w:tcPr>
                <w:p>
                  <w:pPr>
                    <w:pStyle w:val="38"/>
                    <w:bidi w:val="0"/>
                    <w:rPr>
                      <w:u w:val="single"/>
                    </w:rPr>
                  </w:pPr>
                  <w:r>
                    <w:rPr>
                      <w:u w:val="single"/>
                    </w:rPr>
                    <w:t>施工噪声</w:t>
                  </w:r>
                </w:p>
              </w:tc>
              <w:tc>
                <w:tcPr>
                  <w:tcW w:w="2341" w:type="dxa"/>
                  <w:noWrap w:val="0"/>
                  <w:vAlign w:val="center"/>
                </w:tcPr>
                <w:p>
                  <w:pPr>
                    <w:pStyle w:val="38"/>
                    <w:bidi w:val="0"/>
                    <w:rPr>
                      <w:u w:val="single"/>
                    </w:rPr>
                  </w:pPr>
                  <w:r>
                    <w:rPr>
                      <w:u w:val="single"/>
                    </w:rPr>
                    <w:t>低噪设备、</w:t>
                  </w:r>
                  <w:r>
                    <w:rPr>
                      <w:rFonts w:hint="eastAsia"/>
                      <w:u w:val="single"/>
                      <w:lang w:eastAsia="zh-CN"/>
                    </w:rPr>
                    <w:t>围挡</w:t>
                  </w:r>
                  <w:r>
                    <w:rPr>
                      <w:u w:val="single"/>
                    </w:rPr>
                    <w:t>、设备隔声罩</w:t>
                  </w:r>
                </w:p>
              </w:tc>
              <w:tc>
                <w:tcPr>
                  <w:tcW w:w="1600" w:type="dxa"/>
                  <w:noWrap w:val="0"/>
                  <w:vAlign w:val="center"/>
                </w:tcPr>
                <w:p>
                  <w:pPr>
                    <w:pStyle w:val="38"/>
                    <w:bidi w:val="0"/>
                    <w:rPr>
                      <w:u w:val="single"/>
                    </w:rPr>
                  </w:pPr>
                  <w:r>
                    <w:rPr>
                      <w:u w:val="single"/>
                    </w:rPr>
                    <w:t>等效连续A声级</w:t>
                  </w:r>
                </w:p>
              </w:tc>
              <w:tc>
                <w:tcPr>
                  <w:tcW w:w="2349" w:type="dxa"/>
                  <w:noWrap w:val="0"/>
                  <w:vAlign w:val="center"/>
                </w:tcPr>
                <w:p>
                  <w:pPr>
                    <w:pStyle w:val="38"/>
                    <w:bidi w:val="0"/>
                    <w:rPr>
                      <w:u w:val="single"/>
                    </w:rPr>
                  </w:pPr>
                  <w:r>
                    <w:rPr>
                      <w:u w:val="single"/>
                    </w:rPr>
                    <w:t>《建筑施工厂界环境噪声排放标准》</w:t>
                  </w:r>
                </w:p>
                <w:p>
                  <w:pPr>
                    <w:pStyle w:val="38"/>
                    <w:bidi w:val="0"/>
                    <w:rPr>
                      <w:u w:val="single"/>
                    </w:rPr>
                  </w:pPr>
                  <w:r>
                    <w:rPr>
                      <w:u w:val="single"/>
                    </w:rPr>
                    <w:t>（GB12523-2011）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jc w:val="center"/>
              </w:trPr>
              <w:tc>
                <w:tcPr>
                  <w:tcW w:w="8338" w:type="dxa"/>
                  <w:gridSpan w:val="5"/>
                  <w:noWrap w:val="0"/>
                  <w:vAlign w:val="center"/>
                </w:tcPr>
                <w:p>
                  <w:pPr>
                    <w:pStyle w:val="38"/>
                    <w:bidi w:val="0"/>
                    <w:rPr>
                      <w:u w:val="single"/>
                    </w:rPr>
                  </w:pPr>
                  <w:r>
                    <w:rPr>
                      <w:u w:val="single"/>
                    </w:rPr>
                    <w:t>运营期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8" w:hRule="atLeast"/>
                <w:jc w:val="center"/>
              </w:trPr>
              <w:tc>
                <w:tcPr>
                  <w:tcW w:w="723" w:type="dxa"/>
                  <w:vMerge w:val="restart"/>
                  <w:noWrap w:val="0"/>
                  <w:vAlign w:val="center"/>
                </w:tcPr>
                <w:p>
                  <w:pPr>
                    <w:pStyle w:val="38"/>
                    <w:bidi w:val="0"/>
                    <w:rPr>
                      <w:u w:val="single"/>
                    </w:rPr>
                  </w:pPr>
                  <w:r>
                    <w:rPr>
                      <w:u w:val="single"/>
                    </w:rPr>
                    <w:t>废气</w:t>
                  </w:r>
                </w:p>
              </w:tc>
              <w:tc>
                <w:tcPr>
                  <w:tcW w:w="1325" w:type="dxa"/>
                  <w:vMerge w:val="restart"/>
                  <w:noWrap w:val="0"/>
                  <w:vAlign w:val="center"/>
                </w:tcPr>
                <w:p>
                  <w:pPr>
                    <w:pStyle w:val="38"/>
                    <w:bidi w:val="0"/>
                    <w:rPr>
                      <w:u w:val="single"/>
                    </w:rPr>
                  </w:pPr>
                  <w:r>
                    <w:rPr>
                      <w:rFonts w:hint="eastAsia"/>
                      <w:u w:val="single"/>
                    </w:rPr>
                    <w:t>生产废气</w:t>
                  </w:r>
                </w:p>
              </w:tc>
              <w:tc>
                <w:tcPr>
                  <w:tcW w:w="2341" w:type="dxa"/>
                  <w:vMerge w:val="restart"/>
                  <w:noWrap w:val="0"/>
                  <w:vAlign w:val="center"/>
                </w:tcPr>
                <w:p>
                  <w:pPr>
                    <w:pStyle w:val="38"/>
                    <w:bidi w:val="0"/>
                    <w:rPr>
                      <w:rFonts w:hint="default" w:eastAsia="宋体"/>
                      <w:color w:val="auto"/>
                      <w:u w:val="single"/>
                      <w:lang w:val="en-US" w:eastAsia="zh-CN"/>
                    </w:rPr>
                  </w:pPr>
                  <w:r>
                    <w:rPr>
                      <w:rFonts w:hint="eastAsia"/>
                      <w:u w:val="single"/>
                      <w:lang w:eastAsia="zh-CN"/>
                    </w:rPr>
                    <w:t>高效生物吸附塔</w:t>
                  </w:r>
                  <w:r>
                    <w:rPr>
                      <w:rFonts w:hint="eastAsia"/>
                      <w:u w:val="single"/>
                      <w:lang w:val="en-US" w:eastAsia="zh-CN"/>
                    </w:rPr>
                    <w:t>+15m排气筒、空间异味喷淋系统</w:t>
                  </w:r>
                </w:p>
              </w:tc>
              <w:tc>
                <w:tcPr>
                  <w:tcW w:w="1600" w:type="dxa"/>
                  <w:noWrap w:val="0"/>
                  <w:vAlign w:val="center"/>
                </w:tcPr>
                <w:p>
                  <w:pPr>
                    <w:pStyle w:val="38"/>
                    <w:bidi w:val="0"/>
                    <w:rPr>
                      <w:u w:val="single"/>
                    </w:rPr>
                  </w:pPr>
                  <w:r>
                    <w:rPr>
                      <w:rFonts w:hint="eastAsia"/>
                      <w:u w:val="single"/>
                    </w:rPr>
                    <w:t>NH</w:t>
                  </w:r>
                  <w:r>
                    <w:rPr>
                      <w:rFonts w:hint="eastAsia"/>
                      <w:u w:val="single"/>
                      <w:vertAlign w:val="subscript"/>
                    </w:rPr>
                    <w:t>3</w:t>
                  </w:r>
                  <w:r>
                    <w:rPr>
                      <w:rFonts w:hint="eastAsia"/>
                      <w:u w:val="single"/>
                    </w:rPr>
                    <w:t>、H</w:t>
                  </w:r>
                  <w:r>
                    <w:rPr>
                      <w:rFonts w:hint="eastAsia"/>
                      <w:u w:val="single"/>
                      <w:vertAlign w:val="subscript"/>
                    </w:rPr>
                    <w:t>2</w:t>
                  </w:r>
                  <w:r>
                    <w:rPr>
                      <w:rFonts w:hint="eastAsia"/>
                      <w:u w:val="single"/>
                    </w:rPr>
                    <w:t>S</w:t>
                  </w:r>
                </w:p>
              </w:tc>
              <w:tc>
                <w:tcPr>
                  <w:tcW w:w="2349" w:type="dxa"/>
                  <w:noWrap w:val="0"/>
                  <w:vAlign w:val="center"/>
                </w:tcPr>
                <w:p>
                  <w:pPr>
                    <w:pStyle w:val="38"/>
                    <w:bidi w:val="0"/>
                    <w:rPr>
                      <w:u w:val="single"/>
                    </w:rPr>
                  </w:pPr>
                  <w:r>
                    <w:rPr>
                      <w:u w:val="single"/>
                    </w:rPr>
                    <w:t>《恶臭污染物排放标准》</w:t>
                  </w:r>
                </w:p>
                <w:p>
                  <w:pPr>
                    <w:pStyle w:val="38"/>
                    <w:bidi w:val="0"/>
                    <w:rPr>
                      <w:u w:val="single"/>
                    </w:rPr>
                  </w:pPr>
                  <w:r>
                    <w:rPr>
                      <w:u w:val="single"/>
                    </w:rPr>
                    <w:t>（GB14554-93）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1" w:hRule="atLeast"/>
                <w:jc w:val="center"/>
              </w:trPr>
              <w:tc>
                <w:tcPr>
                  <w:tcW w:w="723" w:type="dxa"/>
                  <w:vMerge w:val="continue"/>
                  <w:noWrap w:val="0"/>
                  <w:vAlign w:val="center"/>
                </w:tcPr>
                <w:p>
                  <w:pPr>
                    <w:pStyle w:val="38"/>
                    <w:bidi w:val="0"/>
                    <w:rPr>
                      <w:u w:val="single"/>
                    </w:rPr>
                  </w:pPr>
                </w:p>
              </w:tc>
              <w:tc>
                <w:tcPr>
                  <w:tcW w:w="1325" w:type="dxa"/>
                  <w:vMerge w:val="continue"/>
                  <w:noWrap w:val="0"/>
                  <w:vAlign w:val="center"/>
                </w:tcPr>
                <w:p>
                  <w:pPr>
                    <w:pStyle w:val="38"/>
                    <w:bidi w:val="0"/>
                    <w:rPr>
                      <w:rFonts w:hint="eastAsia"/>
                      <w:u w:val="single"/>
                    </w:rPr>
                  </w:pPr>
                </w:p>
              </w:tc>
              <w:tc>
                <w:tcPr>
                  <w:tcW w:w="2341" w:type="dxa"/>
                  <w:vMerge w:val="continue"/>
                  <w:noWrap w:val="0"/>
                  <w:vAlign w:val="center"/>
                </w:tcPr>
                <w:p>
                  <w:pPr>
                    <w:pStyle w:val="38"/>
                    <w:bidi w:val="0"/>
                    <w:rPr>
                      <w:u w:val="single"/>
                    </w:rPr>
                  </w:pPr>
                </w:p>
              </w:tc>
              <w:tc>
                <w:tcPr>
                  <w:tcW w:w="1600" w:type="dxa"/>
                  <w:noWrap w:val="0"/>
                  <w:vAlign w:val="center"/>
                </w:tcPr>
                <w:p>
                  <w:pPr>
                    <w:pStyle w:val="38"/>
                    <w:bidi w:val="0"/>
                    <w:rPr>
                      <w:u w:val="single"/>
                    </w:rPr>
                  </w:pPr>
                  <w:r>
                    <w:rPr>
                      <w:rFonts w:hint="eastAsia"/>
                      <w:u w:val="single"/>
                    </w:rPr>
                    <w:t>TSP</w:t>
                  </w:r>
                </w:p>
              </w:tc>
              <w:tc>
                <w:tcPr>
                  <w:tcW w:w="2349" w:type="dxa"/>
                  <w:noWrap w:val="0"/>
                  <w:vAlign w:val="center"/>
                </w:tcPr>
                <w:p>
                  <w:pPr>
                    <w:pStyle w:val="38"/>
                    <w:bidi w:val="0"/>
                    <w:rPr>
                      <w:u w:val="single"/>
                    </w:rPr>
                  </w:pPr>
                  <w:r>
                    <w:rPr>
                      <w:rFonts w:hint="eastAsia"/>
                      <w:u w:val="single"/>
                    </w:rPr>
                    <w:t>《大气污染物综合排放标准》(GB16297-1996 )表2中的二级标准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6" w:hRule="atLeast"/>
                <w:jc w:val="center"/>
              </w:trPr>
              <w:tc>
                <w:tcPr>
                  <w:tcW w:w="723" w:type="dxa"/>
                  <w:vMerge w:val="restart"/>
                  <w:noWrap w:val="0"/>
                  <w:vAlign w:val="center"/>
                </w:tcPr>
                <w:p>
                  <w:pPr>
                    <w:pStyle w:val="38"/>
                    <w:bidi w:val="0"/>
                    <w:rPr>
                      <w:u w:val="single"/>
                    </w:rPr>
                  </w:pPr>
                  <w:r>
                    <w:rPr>
                      <w:u w:val="single"/>
                    </w:rPr>
                    <w:t>废水</w:t>
                  </w:r>
                </w:p>
              </w:tc>
              <w:tc>
                <w:tcPr>
                  <w:tcW w:w="1325" w:type="dxa"/>
                  <w:noWrap w:val="0"/>
                  <w:vAlign w:val="center"/>
                </w:tcPr>
                <w:p>
                  <w:pPr>
                    <w:pStyle w:val="38"/>
                    <w:bidi w:val="0"/>
                    <w:rPr>
                      <w:u w:val="single"/>
                    </w:rPr>
                  </w:pPr>
                  <w:r>
                    <w:rPr>
                      <w:u w:val="single"/>
                    </w:rPr>
                    <w:t>生活废水</w:t>
                  </w:r>
                </w:p>
              </w:tc>
              <w:tc>
                <w:tcPr>
                  <w:tcW w:w="2341" w:type="dxa"/>
                  <w:noWrap w:val="0"/>
                  <w:vAlign w:val="center"/>
                </w:tcPr>
                <w:p>
                  <w:pPr>
                    <w:pStyle w:val="38"/>
                    <w:bidi w:val="0"/>
                    <w:rPr>
                      <w:u w:val="single"/>
                    </w:rPr>
                  </w:pPr>
                  <w:r>
                    <w:rPr>
                      <w:u w:val="single"/>
                    </w:rPr>
                    <w:t>化粪池</w:t>
                  </w:r>
                </w:p>
              </w:tc>
              <w:tc>
                <w:tcPr>
                  <w:tcW w:w="1600" w:type="dxa"/>
                  <w:noWrap w:val="0"/>
                  <w:vAlign w:val="center"/>
                </w:tcPr>
                <w:p>
                  <w:pPr>
                    <w:pStyle w:val="38"/>
                    <w:bidi w:val="0"/>
                    <w:rPr>
                      <w:u w:val="single"/>
                    </w:rPr>
                  </w:pPr>
                  <w:r>
                    <w:rPr>
                      <w:u w:val="single"/>
                    </w:rPr>
                    <w:t>COD、BOD、pH、SS、</w:t>
                  </w:r>
                </w:p>
                <w:p>
                  <w:pPr>
                    <w:pStyle w:val="38"/>
                    <w:bidi w:val="0"/>
                    <w:rPr>
                      <w:u w:val="single"/>
                    </w:rPr>
                  </w:pPr>
                  <w:r>
                    <w:rPr>
                      <w:u w:val="single"/>
                    </w:rPr>
                    <w:t>NH3-N</w:t>
                  </w:r>
                </w:p>
              </w:tc>
              <w:tc>
                <w:tcPr>
                  <w:tcW w:w="2349" w:type="dxa"/>
                  <w:noWrap w:val="0"/>
                  <w:vAlign w:val="center"/>
                </w:tcPr>
                <w:p>
                  <w:pPr>
                    <w:pStyle w:val="38"/>
                    <w:bidi w:val="0"/>
                    <w:rPr>
                      <w:rFonts w:hint="eastAsia" w:eastAsia="宋体"/>
                      <w:u w:val="single"/>
                      <w:lang w:eastAsia="zh-CN"/>
                    </w:rPr>
                  </w:pPr>
                  <w:r>
                    <w:rPr>
                      <w:rFonts w:hint="eastAsia"/>
                      <w:u w:val="single"/>
                      <w:lang w:eastAsia="zh-CN"/>
                    </w:rPr>
                    <w:t>外运作农肥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6" w:hRule="atLeast"/>
                <w:jc w:val="center"/>
              </w:trPr>
              <w:tc>
                <w:tcPr>
                  <w:tcW w:w="723" w:type="dxa"/>
                  <w:vMerge w:val="continue"/>
                  <w:noWrap w:val="0"/>
                  <w:vAlign w:val="center"/>
                </w:tcPr>
                <w:p>
                  <w:pPr>
                    <w:pStyle w:val="38"/>
                    <w:bidi w:val="0"/>
                    <w:rPr>
                      <w:u w:val="single"/>
                    </w:rPr>
                  </w:pPr>
                </w:p>
              </w:tc>
              <w:tc>
                <w:tcPr>
                  <w:tcW w:w="1325" w:type="dxa"/>
                  <w:noWrap w:val="0"/>
                  <w:vAlign w:val="center"/>
                </w:tcPr>
                <w:p>
                  <w:pPr>
                    <w:pStyle w:val="38"/>
                    <w:bidi w:val="0"/>
                    <w:rPr>
                      <w:u w:val="single"/>
                    </w:rPr>
                  </w:pPr>
                  <w:r>
                    <w:rPr>
                      <w:u w:val="single"/>
                    </w:rPr>
                    <w:t>生产废水</w:t>
                  </w:r>
                </w:p>
              </w:tc>
              <w:tc>
                <w:tcPr>
                  <w:tcW w:w="2341" w:type="dxa"/>
                  <w:noWrap w:val="0"/>
                  <w:vAlign w:val="center"/>
                </w:tcPr>
                <w:p>
                  <w:pPr>
                    <w:pStyle w:val="38"/>
                    <w:bidi w:val="0"/>
                    <w:rPr>
                      <w:u w:val="single"/>
                    </w:rPr>
                  </w:pPr>
                  <w:r>
                    <w:rPr>
                      <w:rFonts w:hint="eastAsia"/>
                      <w:u w:val="single"/>
                    </w:rPr>
                    <w:t>渗滤液池</w:t>
                  </w:r>
                </w:p>
              </w:tc>
              <w:tc>
                <w:tcPr>
                  <w:tcW w:w="1600" w:type="dxa"/>
                  <w:noWrap w:val="0"/>
                  <w:vAlign w:val="center"/>
                </w:tcPr>
                <w:p>
                  <w:pPr>
                    <w:pStyle w:val="38"/>
                    <w:bidi w:val="0"/>
                    <w:rPr>
                      <w:u w:val="single"/>
                    </w:rPr>
                  </w:pPr>
                </w:p>
              </w:tc>
              <w:tc>
                <w:tcPr>
                  <w:tcW w:w="2349" w:type="dxa"/>
                  <w:noWrap w:val="0"/>
                  <w:vAlign w:val="center"/>
                </w:tcPr>
                <w:p>
                  <w:pPr>
                    <w:pStyle w:val="38"/>
                    <w:bidi w:val="0"/>
                    <w:rPr>
                      <w:rFonts w:hint="default" w:eastAsia="宋体"/>
                      <w:u w:val="single"/>
                      <w:lang w:val="en-US" w:eastAsia="zh-CN"/>
                    </w:rPr>
                  </w:pPr>
                  <w:r>
                    <w:rPr>
                      <w:rFonts w:hint="default"/>
                      <w:u w:val="single"/>
                    </w:rPr>
                    <w:t>《生活垃圾填埋污染控制标准》(GB16889-</w:t>
                  </w:r>
                  <w:r>
                    <w:rPr>
                      <w:rFonts w:hint="eastAsia"/>
                      <w:u w:val="single"/>
                      <w:lang w:val="en-US" w:eastAsia="zh-CN"/>
                    </w:rPr>
                    <w:t>2008</w:t>
                  </w:r>
                  <w:r>
                    <w:rPr>
                      <w:rFonts w:hint="default"/>
                      <w:u w:val="single"/>
                    </w:rPr>
                    <w:t>)</w:t>
                  </w:r>
                  <w:r>
                    <w:rPr>
                      <w:rFonts w:hint="eastAsia"/>
                      <w:u w:val="single"/>
                      <w:lang w:eastAsia="zh-CN"/>
                    </w:rPr>
                    <w:t>表</w:t>
                  </w:r>
                  <w:r>
                    <w:rPr>
                      <w:rFonts w:hint="eastAsia"/>
                      <w:u w:val="single"/>
                      <w:lang w:val="en-US" w:eastAsia="zh-CN"/>
                    </w:rPr>
                    <w:t>2标准</w:t>
                  </w:r>
                  <w:r>
                    <w:rPr>
                      <w:rFonts w:cs="Times New Roman"/>
                      <w:szCs w:val="24"/>
                      <w:u w:val="single"/>
                    </w:rPr>
                    <w:t>《城镇污水处理厂污水排放标准》（GB18918-2002）及其修改单中一级</w:t>
                  </w:r>
                  <w:r>
                    <w:rPr>
                      <w:rFonts w:cs="Times New Roman"/>
                      <w:szCs w:val="24"/>
                      <w:u w:val="single"/>
                      <w:lang w:val="en-US"/>
                    </w:rPr>
                    <w:t>A</w:t>
                  </w:r>
                  <w:r>
                    <w:rPr>
                      <w:rFonts w:cs="Times New Roman"/>
                      <w:szCs w:val="24"/>
                      <w:u w:val="single"/>
                    </w:rPr>
                    <w:t>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6" w:hRule="atLeast"/>
                <w:jc w:val="center"/>
              </w:trPr>
              <w:tc>
                <w:tcPr>
                  <w:tcW w:w="723" w:type="dxa"/>
                  <w:vMerge w:val="continue"/>
                  <w:noWrap w:val="0"/>
                  <w:vAlign w:val="center"/>
                </w:tcPr>
                <w:p>
                  <w:pPr>
                    <w:pStyle w:val="38"/>
                    <w:bidi w:val="0"/>
                    <w:rPr>
                      <w:u w:val="single"/>
                    </w:rPr>
                  </w:pPr>
                </w:p>
              </w:tc>
              <w:tc>
                <w:tcPr>
                  <w:tcW w:w="1325" w:type="dxa"/>
                  <w:noWrap w:val="0"/>
                  <w:vAlign w:val="center"/>
                </w:tcPr>
                <w:p>
                  <w:pPr>
                    <w:pStyle w:val="38"/>
                    <w:bidi w:val="0"/>
                    <w:rPr>
                      <w:rFonts w:hint="eastAsia" w:eastAsia="宋体"/>
                      <w:u w:val="single"/>
                      <w:lang w:eastAsia="zh-CN"/>
                    </w:rPr>
                  </w:pPr>
                  <w:r>
                    <w:rPr>
                      <w:rFonts w:hint="eastAsia"/>
                      <w:u w:val="single"/>
                      <w:lang w:eastAsia="zh-CN"/>
                    </w:rPr>
                    <w:t>初期雨水</w:t>
                  </w:r>
                </w:p>
              </w:tc>
              <w:tc>
                <w:tcPr>
                  <w:tcW w:w="2341" w:type="dxa"/>
                  <w:noWrap w:val="0"/>
                  <w:vAlign w:val="center"/>
                </w:tcPr>
                <w:p>
                  <w:pPr>
                    <w:pStyle w:val="38"/>
                    <w:bidi w:val="0"/>
                    <w:rPr>
                      <w:rFonts w:hint="eastAsia" w:eastAsia="宋体"/>
                      <w:u w:val="single"/>
                      <w:lang w:eastAsia="zh-CN"/>
                    </w:rPr>
                  </w:pPr>
                  <w:r>
                    <w:rPr>
                      <w:rFonts w:hint="eastAsia"/>
                      <w:u w:val="single"/>
                      <w:lang w:eastAsia="zh-CN"/>
                    </w:rPr>
                    <w:t>初期雨水收集池</w:t>
                  </w:r>
                </w:p>
              </w:tc>
              <w:tc>
                <w:tcPr>
                  <w:tcW w:w="1600" w:type="dxa"/>
                  <w:noWrap w:val="0"/>
                  <w:vAlign w:val="center"/>
                </w:tcPr>
                <w:p>
                  <w:pPr>
                    <w:pStyle w:val="38"/>
                    <w:bidi w:val="0"/>
                    <w:rPr>
                      <w:rFonts w:hint="default" w:eastAsia="宋体"/>
                      <w:u w:val="single"/>
                      <w:lang w:val="en-US" w:eastAsia="zh-CN"/>
                    </w:rPr>
                  </w:pPr>
                  <w:r>
                    <w:rPr>
                      <w:rFonts w:hint="eastAsia"/>
                      <w:u w:val="single"/>
                      <w:lang w:val="en-US" w:eastAsia="zh-CN"/>
                    </w:rPr>
                    <w:t>SS</w:t>
                  </w:r>
                </w:p>
              </w:tc>
              <w:tc>
                <w:tcPr>
                  <w:tcW w:w="2349" w:type="dxa"/>
                  <w:noWrap w:val="0"/>
                  <w:vAlign w:val="center"/>
                </w:tcPr>
                <w:p>
                  <w:pPr>
                    <w:pStyle w:val="38"/>
                    <w:bidi w:val="0"/>
                    <w:rPr>
                      <w:rFonts w:hint="eastAsia" w:eastAsia="宋体"/>
                      <w:u w:val="single"/>
                      <w:lang w:eastAsia="zh-CN"/>
                    </w:rPr>
                  </w:pPr>
                  <w:r>
                    <w:rPr>
                      <w:rFonts w:hint="eastAsia"/>
                      <w:u w:val="single"/>
                      <w:lang w:eastAsia="zh-CN"/>
                    </w:rPr>
                    <w:t>回用于场内洒水降尘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1" w:hRule="atLeast"/>
                <w:jc w:val="center"/>
              </w:trPr>
              <w:tc>
                <w:tcPr>
                  <w:tcW w:w="723" w:type="dxa"/>
                  <w:noWrap w:val="0"/>
                  <w:vAlign w:val="center"/>
                </w:tcPr>
                <w:p>
                  <w:pPr>
                    <w:pStyle w:val="38"/>
                    <w:bidi w:val="0"/>
                    <w:rPr>
                      <w:u w:val="single"/>
                    </w:rPr>
                  </w:pPr>
                  <w:r>
                    <w:rPr>
                      <w:u w:val="single"/>
                    </w:rPr>
                    <w:t>固废</w:t>
                  </w:r>
                </w:p>
              </w:tc>
              <w:tc>
                <w:tcPr>
                  <w:tcW w:w="1325" w:type="dxa"/>
                  <w:noWrap w:val="0"/>
                  <w:vAlign w:val="center"/>
                </w:tcPr>
                <w:p>
                  <w:pPr>
                    <w:pStyle w:val="38"/>
                    <w:bidi w:val="0"/>
                    <w:rPr>
                      <w:rFonts w:hint="eastAsia" w:eastAsia="宋体"/>
                      <w:u w:val="single"/>
                      <w:lang w:eastAsia="zh-CN"/>
                    </w:rPr>
                  </w:pPr>
                  <w:r>
                    <w:rPr>
                      <w:u w:val="single"/>
                    </w:rPr>
                    <w:t>生活垃圾</w:t>
                  </w:r>
                  <w:r>
                    <w:rPr>
                      <w:rFonts w:hint="eastAsia"/>
                      <w:u w:val="single"/>
                      <w:lang w:eastAsia="zh-CN"/>
                    </w:rPr>
                    <w:t>、维修固废</w:t>
                  </w:r>
                </w:p>
              </w:tc>
              <w:tc>
                <w:tcPr>
                  <w:tcW w:w="2341" w:type="dxa"/>
                  <w:noWrap w:val="0"/>
                  <w:vAlign w:val="center"/>
                </w:tcPr>
                <w:p>
                  <w:pPr>
                    <w:pStyle w:val="38"/>
                    <w:bidi w:val="0"/>
                    <w:rPr>
                      <w:rFonts w:hint="eastAsia" w:eastAsia="宋体"/>
                      <w:u w:val="single"/>
                      <w:lang w:eastAsia="zh-CN"/>
                    </w:rPr>
                  </w:pPr>
                  <w:r>
                    <w:rPr>
                      <w:u w:val="single"/>
                    </w:rPr>
                    <w:t>垃圾桶或箱</w:t>
                  </w:r>
                  <w:r>
                    <w:rPr>
                      <w:rFonts w:hint="eastAsia"/>
                      <w:u w:val="single"/>
                      <w:lang w:eastAsia="zh-CN"/>
                    </w:rPr>
                    <w:t>、危废暂存间</w:t>
                  </w:r>
                </w:p>
              </w:tc>
              <w:tc>
                <w:tcPr>
                  <w:tcW w:w="1600" w:type="dxa"/>
                  <w:noWrap w:val="0"/>
                  <w:vAlign w:val="center"/>
                </w:tcPr>
                <w:p>
                  <w:pPr>
                    <w:pStyle w:val="38"/>
                    <w:bidi w:val="0"/>
                    <w:rPr>
                      <w:rFonts w:hint="eastAsia" w:eastAsia="宋体"/>
                      <w:u w:val="single"/>
                      <w:lang w:eastAsia="zh-CN"/>
                    </w:rPr>
                  </w:pPr>
                  <w:r>
                    <w:rPr>
                      <w:u w:val="single"/>
                    </w:rPr>
                    <w:t>生活垃圾</w:t>
                  </w:r>
                  <w:r>
                    <w:rPr>
                      <w:rFonts w:hint="eastAsia"/>
                      <w:u w:val="single"/>
                      <w:lang w:eastAsia="zh-CN"/>
                    </w:rPr>
                    <w:t>、一般固废及危险废物</w:t>
                  </w:r>
                </w:p>
              </w:tc>
              <w:tc>
                <w:tcPr>
                  <w:tcW w:w="2349" w:type="dxa"/>
                  <w:noWrap w:val="0"/>
                  <w:vAlign w:val="center"/>
                </w:tcPr>
                <w:p>
                  <w:pPr>
                    <w:pStyle w:val="38"/>
                    <w:bidi w:val="0"/>
                    <w:rPr>
                      <w:u w:val="single"/>
                    </w:rPr>
                  </w:pPr>
                  <w:r>
                    <w:rPr>
                      <w:u w:val="single"/>
                    </w:rPr>
                    <w:t>《生活垃圾填埋污染控制标准》</w:t>
                  </w:r>
                </w:p>
                <w:p>
                  <w:pPr>
                    <w:pStyle w:val="38"/>
                    <w:bidi w:val="0"/>
                    <w:rPr>
                      <w:rFonts w:hint="eastAsia" w:eastAsia="宋体"/>
                      <w:u w:val="single"/>
                      <w:lang w:eastAsia="zh-CN"/>
                    </w:rPr>
                  </w:pPr>
                  <w:r>
                    <w:rPr>
                      <w:u w:val="single"/>
                    </w:rPr>
                    <w:t>（GB16889-2008）</w:t>
                  </w:r>
                  <w:r>
                    <w:rPr>
                      <w:rFonts w:hint="eastAsia"/>
                      <w:u w:val="single"/>
                      <w:lang w:eastAsia="zh-CN"/>
                    </w:rPr>
                    <w:t>、</w:t>
                  </w:r>
                  <w:r>
                    <w:rPr>
                      <w:rFonts w:hint="eastAsia" w:cs="Times New Roman"/>
                      <w:szCs w:val="24"/>
                      <w:u w:val="single"/>
                    </w:rPr>
                    <w:t>《一般工业固体废物贮存和填埋污染控制标准》（GB18599-2020）</w:t>
                  </w:r>
                  <w:r>
                    <w:rPr>
                      <w:rFonts w:hint="eastAsia" w:cs="Times New Roman"/>
                      <w:szCs w:val="24"/>
                      <w:u w:val="single"/>
                      <w:lang w:eastAsia="zh-CN"/>
                    </w:rPr>
                    <w:t>，危险废物贮存执行《危险废物贮存污染控制标准》(GB18597-2001)及修改单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6" w:hRule="atLeast"/>
                <w:jc w:val="center"/>
              </w:trPr>
              <w:tc>
                <w:tcPr>
                  <w:tcW w:w="723" w:type="dxa"/>
                  <w:vMerge w:val="restart"/>
                  <w:noWrap w:val="0"/>
                  <w:vAlign w:val="center"/>
                </w:tcPr>
                <w:p>
                  <w:pPr>
                    <w:pStyle w:val="38"/>
                    <w:bidi w:val="0"/>
                    <w:rPr>
                      <w:u w:val="single"/>
                    </w:rPr>
                  </w:pPr>
                  <w:r>
                    <w:rPr>
                      <w:u w:val="single"/>
                    </w:rPr>
                    <w:t>噪声</w:t>
                  </w:r>
                </w:p>
              </w:tc>
              <w:tc>
                <w:tcPr>
                  <w:tcW w:w="1325" w:type="dxa"/>
                  <w:noWrap w:val="0"/>
                  <w:vAlign w:val="center"/>
                </w:tcPr>
                <w:p>
                  <w:pPr>
                    <w:pStyle w:val="38"/>
                    <w:bidi w:val="0"/>
                    <w:rPr>
                      <w:u w:val="single"/>
                    </w:rPr>
                  </w:pPr>
                  <w:r>
                    <w:rPr>
                      <w:u w:val="single"/>
                    </w:rPr>
                    <w:t>设备噪声</w:t>
                  </w:r>
                </w:p>
              </w:tc>
              <w:tc>
                <w:tcPr>
                  <w:tcW w:w="2341" w:type="dxa"/>
                  <w:noWrap w:val="0"/>
                  <w:vAlign w:val="center"/>
                </w:tcPr>
                <w:p>
                  <w:pPr>
                    <w:pStyle w:val="38"/>
                    <w:bidi w:val="0"/>
                    <w:rPr>
                      <w:u w:val="single"/>
                    </w:rPr>
                  </w:pPr>
                  <w:r>
                    <w:rPr>
                      <w:u w:val="single"/>
                    </w:rPr>
                    <w:t>选用先进的、</w:t>
                  </w:r>
                  <w:r>
                    <w:rPr>
                      <w:rFonts w:hint="eastAsia"/>
                      <w:u w:val="single"/>
                      <w:lang w:eastAsia="zh-CN"/>
                    </w:rPr>
                    <w:t>低</w:t>
                  </w:r>
                  <w:r>
                    <w:rPr>
                      <w:u w:val="single"/>
                    </w:rPr>
                    <w:t>噪声设备、减震措施、隔音设备</w:t>
                  </w:r>
                </w:p>
              </w:tc>
              <w:tc>
                <w:tcPr>
                  <w:tcW w:w="1600" w:type="dxa"/>
                  <w:vMerge w:val="restart"/>
                  <w:noWrap w:val="0"/>
                  <w:vAlign w:val="center"/>
                </w:tcPr>
                <w:p>
                  <w:pPr>
                    <w:pStyle w:val="38"/>
                    <w:bidi w:val="0"/>
                    <w:rPr>
                      <w:u w:val="single"/>
                    </w:rPr>
                  </w:pPr>
                  <w:r>
                    <w:rPr>
                      <w:u w:val="single"/>
                    </w:rPr>
                    <w:t>等效连续A声级</w:t>
                  </w:r>
                </w:p>
              </w:tc>
              <w:tc>
                <w:tcPr>
                  <w:tcW w:w="2349" w:type="dxa"/>
                  <w:vMerge w:val="restart"/>
                  <w:noWrap w:val="0"/>
                  <w:vAlign w:val="center"/>
                </w:tcPr>
                <w:p>
                  <w:pPr>
                    <w:pStyle w:val="38"/>
                    <w:bidi w:val="0"/>
                    <w:rPr>
                      <w:u w:val="single"/>
                    </w:rPr>
                  </w:pPr>
                  <w:r>
                    <w:rPr>
                      <w:u w:val="single"/>
                    </w:rPr>
                    <w:t>《工业企业厂界环境噪声排放标准》（GB12348-2008）2类标准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jc w:val="center"/>
              </w:trPr>
              <w:tc>
                <w:tcPr>
                  <w:tcW w:w="723" w:type="dxa"/>
                  <w:vMerge w:val="continue"/>
                  <w:noWrap w:val="0"/>
                  <w:vAlign w:val="center"/>
                </w:tcPr>
                <w:p>
                  <w:pPr>
                    <w:pStyle w:val="38"/>
                    <w:bidi w:val="0"/>
                    <w:rPr>
                      <w:u w:val="single"/>
                    </w:rPr>
                  </w:pPr>
                </w:p>
              </w:tc>
              <w:tc>
                <w:tcPr>
                  <w:tcW w:w="1325" w:type="dxa"/>
                  <w:noWrap w:val="0"/>
                  <w:vAlign w:val="center"/>
                </w:tcPr>
                <w:p>
                  <w:pPr>
                    <w:pStyle w:val="38"/>
                    <w:bidi w:val="0"/>
                    <w:rPr>
                      <w:u w:val="single"/>
                    </w:rPr>
                  </w:pPr>
                  <w:r>
                    <w:rPr>
                      <w:u w:val="single"/>
                    </w:rPr>
                    <w:t>车辆噪声</w:t>
                  </w:r>
                </w:p>
              </w:tc>
              <w:tc>
                <w:tcPr>
                  <w:tcW w:w="2341" w:type="dxa"/>
                  <w:noWrap w:val="0"/>
                  <w:vAlign w:val="center"/>
                </w:tcPr>
                <w:p>
                  <w:pPr>
                    <w:pStyle w:val="38"/>
                    <w:bidi w:val="0"/>
                    <w:rPr>
                      <w:u w:val="single"/>
                    </w:rPr>
                  </w:pPr>
                  <w:r>
                    <w:rPr>
                      <w:u w:val="single"/>
                    </w:rPr>
                    <w:t>禁鸣、控制车速、警示牌</w:t>
                  </w:r>
                </w:p>
              </w:tc>
              <w:tc>
                <w:tcPr>
                  <w:tcW w:w="1600" w:type="dxa"/>
                  <w:vMerge w:val="continue"/>
                  <w:noWrap w:val="0"/>
                  <w:vAlign w:val="center"/>
                </w:tcPr>
                <w:p>
                  <w:pPr>
                    <w:pStyle w:val="38"/>
                    <w:bidi w:val="0"/>
                    <w:rPr>
                      <w:u w:val="single"/>
                    </w:rPr>
                  </w:pPr>
                </w:p>
              </w:tc>
              <w:tc>
                <w:tcPr>
                  <w:tcW w:w="2349" w:type="dxa"/>
                  <w:vMerge w:val="continue"/>
                  <w:noWrap w:val="0"/>
                  <w:vAlign w:val="center"/>
                </w:tcPr>
                <w:p>
                  <w:pPr>
                    <w:pStyle w:val="38"/>
                    <w:bidi w:val="0"/>
                    <w:rPr>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723" w:type="dxa"/>
                  <w:noWrap w:val="0"/>
                  <w:vAlign w:val="center"/>
                </w:tcPr>
                <w:p>
                  <w:pPr>
                    <w:pStyle w:val="38"/>
                    <w:bidi w:val="0"/>
                    <w:rPr>
                      <w:u w:val="single"/>
                    </w:rPr>
                  </w:pPr>
                  <w:r>
                    <w:rPr>
                      <w:u w:val="single"/>
                    </w:rPr>
                    <w:t>生态</w:t>
                  </w:r>
                </w:p>
              </w:tc>
              <w:tc>
                <w:tcPr>
                  <w:tcW w:w="1325" w:type="dxa"/>
                  <w:noWrap w:val="0"/>
                  <w:vAlign w:val="center"/>
                </w:tcPr>
                <w:p>
                  <w:pPr>
                    <w:pStyle w:val="38"/>
                    <w:bidi w:val="0"/>
                    <w:rPr>
                      <w:u w:val="single"/>
                    </w:rPr>
                  </w:pPr>
                  <w:r>
                    <w:rPr>
                      <w:u w:val="single"/>
                    </w:rPr>
                    <w:t>植被破坏</w:t>
                  </w:r>
                </w:p>
              </w:tc>
              <w:tc>
                <w:tcPr>
                  <w:tcW w:w="2341" w:type="dxa"/>
                  <w:noWrap w:val="0"/>
                  <w:vAlign w:val="center"/>
                </w:tcPr>
                <w:p>
                  <w:pPr>
                    <w:pStyle w:val="38"/>
                    <w:bidi w:val="0"/>
                    <w:rPr>
                      <w:u w:val="single"/>
                    </w:rPr>
                  </w:pPr>
                  <w:r>
                    <w:rPr>
                      <w:rFonts w:hint="eastAsia"/>
                      <w:u w:val="single"/>
                    </w:rPr>
                    <w:t>加强绿化</w:t>
                  </w:r>
                </w:p>
              </w:tc>
              <w:tc>
                <w:tcPr>
                  <w:tcW w:w="1600" w:type="dxa"/>
                  <w:noWrap w:val="0"/>
                  <w:vAlign w:val="center"/>
                </w:tcPr>
                <w:p>
                  <w:pPr>
                    <w:pStyle w:val="38"/>
                    <w:bidi w:val="0"/>
                    <w:rPr>
                      <w:rFonts w:hint="default" w:eastAsia="宋体"/>
                      <w:u w:val="single"/>
                      <w:lang w:val="en-US" w:eastAsia="zh-CN"/>
                    </w:rPr>
                  </w:pPr>
                  <w:r>
                    <w:rPr>
                      <w:rFonts w:hint="eastAsia"/>
                      <w:u w:val="single"/>
                      <w:lang w:val="en-US" w:eastAsia="zh-CN"/>
                    </w:rPr>
                    <w:t>/</w:t>
                  </w:r>
                </w:p>
              </w:tc>
              <w:tc>
                <w:tcPr>
                  <w:tcW w:w="2349" w:type="dxa"/>
                  <w:noWrap w:val="0"/>
                  <w:vAlign w:val="center"/>
                </w:tcPr>
                <w:p>
                  <w:pPr>
                    <w:pStyle w:val="38"/>
                    <w:bidi w:val="0"/>
                    <w:rPr>
                      <w:u w:val="single"/>
                    </w:rPr>
                  </w:pPr>
                  <w:r>
                    <w:rPr>
                      <w:u w:val="single"/>
                    </w:rPr>
                    <w:t>/</w:t>
                  </w:r>
                </w:p>
              </w:tc>
            </w:tr>
          </w:tbl>
          <w:p>
            <w:pPr>
              <w:ind w:firstLine="480"/>
            </w:pPr>
          </w:p>
        </w:tc>
      </w:tr>
    </w:tbl>
    <w:p>
      <w:pPr>
        <w:ind w:firstLine="420"/>
        <w:rPr>
          <w:sz w:val="21"/>
        </w:rPr>
        <w:sectPr>
          <w:pgSz w:w="11910" w:h="16840"/>
          <w:pgMar w:top="1440" w:right="1800" w:bottom="1440" w:left="1800" w:header="0" w:footer="817" w:gutter="0"/>
          <w:cols w:space="720" w:num="1"/>
        </w:sectPr>
      </w:pPr>
    </w:p>
    <w:p>
      <w:pPr>
        <w:pStyle w:val="7"/>
        <w:numPr>
          <w:ilvl w:val="0"/>
          <w:numId w:val="7"/>
        </w:numPr>
      </w:pPr>
      <w:bookmarkStart w:id="44" w:name="_Toc16345"/>
      <w:bookmarkStart w:id="45" w:name="_Toc28897"/>
      <w:r>
        <w:t>结论</w:t>
      </w:r>
      <w:bookmarkEnd w:id="44"/>
      <w:bookmarkEnd w:id="45"/>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6" w:type="dxa"/>
            <w:vAlign w:val="center"/>
          </w:tcPr>
          <w:p>
            <w:pPr>
              <w:bidi w:val="0"/>
              <w:jc w:val="both"/>
            </w:pPr>
            <w:r>
              <w:rPr>
                <w:rFonts w:hint="eastAsia"/>
                <w:lang w:eastAsia="zh-CN"/>
              </w:rPr>
              <w:t>该项目符合国家产业政策，项目选址合理，项目经采取相应的污染防治措施后各污染物均能实现达标排放，对周围环境影响较小。从满足环境质量目标要求分析，项目建设可行。</w:t>
            </w:r>
          </w:p>
          <w:p>
            <w:pPr>
              <w:pStyle w:val="30"/>
              <w:ind w:left="480" w:firstLine="480"/>
              <w:jc w:val="both"/>
              <w:rPr>
                <w:rFonts w:eastAsia="Times New Roman"/>
              </w:rPr>
            </w:pPr>
          </w:p>
          <w:p>
            <w:pPr>
              <w:pStyle w:val="30"/>
              <w:ind w:left="480" w:firstLine="480"/>
              <w:jc w:val="both"/>
              <w:rPr>
                <w:rFonts w:eastAsia="Times New Roman"/>
              </w:rPr>
            </w:pPr>
          </w:p>
          <w:p>
            <w:pPr>
              <w:pStyle w:val="30"/>
              <w:ind w:left="480" w:firstLine="480"/>
              <w:jc w:val="both"/>
              <w:rPr>
                <w:rFonts w:eastAsia="Times New Roman"/>
              </w:rPr>
            </w:pPr>
          </w:p>
          <w:p>
            <w:pPr>
              <w:pStyle w:val="30"/>
              <w:ind w:left="480" w:firstLine="480"/>
              <w:jc w:val="both"/>
              <w:rPr>
                <w:rFonts w:eastAsia="Times New Roman"/>
              </w:rPr>
            </w:pPr>
          </w:p>
          <w:p>
            <w:pPr>
              <w:pStyle w:val="30"/>
              <w:ind w:left="480" w:firstLine="480"/>
              <w:jc w:val="both"/>
              <w:rPr>
                <w:rFonts w:eastAsia="Times New Roman"/>
              </w:rPr>
            </w:pPr>
          </w:p>
          <w:p>
            <w:pPr>
              <w:pStyle w:val="30"/>
              <w:ind w:left="480" w:firstLine="480"/>
              <w:jc w:val="both"/>
              <w:rPr>
                <w:rFonts w:eastAsia="Times New Roman"/>
              </w:rPr>
            </w:pPr>
          </w:p>
          <w:p>
            <w:pPr>
              <w:pStyle w:val="30"/>
              <w:ind w:left="0" w:leftChars="0" w:firstLine="0" w:firstLineChars="0"/>
              <w:jc w:val="both"/>
              <w:rPr>
                <w:rFonts w:eastAsia="Times New Roman"/>
              </w:rPr>
            </w:pPr>
          </w:p>
          <w:p>
            <w:pPr>
              <w:pStyle w:val="30"/>
              <w:ind w:left="480" w:firstLine="480"/>
              <w:jc w:val="both"/>
              <w:rPr>
                <w:rFonts w:eastAsia="Times New Roman"/>
              </w:rPr>
            </w:pPr>
          </w:p>
        </w:tc>
      </w:tr>
    </w:tbl>
    <w:p>
      <w:pPr>
        <w:ind w:left="480" w:leftChars="200" w:firstLine="0" w:firstLineChars="0"/>
      </w:pPr>
    </w:p>
    <w:p>
      <w:pPr>
        <w:ind w:firstLine="480"/>
        <w:sectPr>
          <w:pgSz w:w="11910" w:h="16840"/>
          <w:pgMar w:top="1440" w:right="1800" w:bottom="1440" w:left="1800" w:header="0" w:footer="817" w:gutter="0"/>
          <w:cols w:space="720" w:num="1"/>
        </w:sectPr>
      </w:pPr>
    </w:p>
    <w:p>
      <w:pPr>
        <w:pStyle w:val="8"/>
      </w:pPr>
      <w:bookmarkStart w:id="46" w:name="_Toc12733"/>
      <w:r>
        <w:rPr>
          <w:rFonts w:hint="eastAsia"/>
        </w:rPr>
        <w:t>附表</w:t>
      </w:r>
      <w:bookmarkEnd w:id="46"/>
      <w:r>
        <w:rPr>
          <w:rFonts w:hint="eastAsia"/>
        </w:rPr>
        <w:t>：</w:t>
      </w:r>
      <w:bookmarkStart w:id="47" w:name="_Toc27915"/>
      <w:r>
        <w:t>建设项目污染物排放量汇总表</w:t>
      </w:r>
      <w:bookmarkEnd w:id="47"/>
    </w:p>
    <w:tbl>
      <w:tblPr>
        <w:tblStyle w:val="31"/>
        <w:tblW w:w="1417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33"/>
        <w:gridCol w:w="1455"/>
        <w:gridCol w:w="1749"/>
        <w:gridCol w:w="1312"/>
        <w:gridCol w:w="1749"/>
        <w:gridCol w:w="1601"/>
        <w:gridCol w:w="1812"/>
        <w:gridCol w:w="2013"/>
        <w:gridCol w:w="8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633" w:type="dxa"/>
            <w:tcBorders>
              <w:bottom w:val="single" w:color="000000" w:sz="4" w:space="0"/>
              <w:right w:val="single" w:color="000000" w:sz="4" w:space="0"/>
            </w:tcBorders>
            <w:vAlign w:val="center"/>
          </w:tcPr>
          <w:p>
            <w:pPr>
              <w:pStyle w:val="38"/>
              <w:jc w:val="right"/>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-635</wp:posOffset>
                      </wp:positionH>
                      <wp:positionV relativeFrom="paragraph">
                        <wp:posOffset>9525</wp:posOffset>
                      </wp:positionV>
                      <wp:extent cx="999490" cy="533400"/>
                      <wp:effectExtent l="2540" t="4445" r="7620" b="14605"/>
                      <wp:wrapNone/>
                      <wp:docPr id="8" name="直线 4"/>
                      <wp:cNvGraphicFramePr/>
                      <a:graphic xmlns:a="http://schemas.openxmlformats.org/drawingml/2006/main">
                        <a:graphicData uri="http://schemas.microsoft.com/office/word/2010/wordprocessingShape">
                          <wps:wsp>
                            <wps:cNvCnPr/>
                            <wps:spPr>
                              <a:xfrm>
                                <a:off x="0" y="0"/>
                                <a:ext cx="999490" cy="53340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0.05pt;margin-top:0.75pt;height:42pt;width:78.7pt;mso-position-horizontal-relative:page;z-index:-251656192;mso-width-relative:page;mso-height-relative:page;" filled="f" stroked="t" coordsize="21600,21600" o:gfxdata="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HvMng1QAAAAYB&#10;AAAPAAAAAAAAAAEAIAAAACIAAABkcnMvZG93bnJldi54bWxQSwECFAAUAAAACACHTuJAn1fta+UB&#10;AADTAwAADgAAAAAAAAABACAAAAAkAQAAZHJzL2Uyb0RvYy54bWxQSwUGAAAAAAYABgBZAQAAewUA&#10;AAAA&#10;">
                      <v:fill on="f" focussize="0,0"/>
                      <v:stroke weight="0.48pt" color="#000000" joinstyle="round"/>
                      <v:imagedata o:title=""/>
                      <o:lock v:ext="edit" aspectratio="f"/>
                    </v:line>
                  </w:pict>
                </mc:Fallback>
              </mc:AlternateContent>
            </w:r>
            <w:r>
              <w:rPr>
                <w:rFonts w:hint="eastAsia"/>
              </w:rPr>
              <w:t>项目</w:t>
            </w:r>
          </w:p>
          <w:p>
            <w:pPr>
              <w:pStyle w:val="38"/>
            </w:pPr>
          </w:p>
          <w:p>
            <w:pPr>
              <w:pStyle w:val="38"/>
              <w:jc w:val="both"/>
            </w:pPr>
            <w:r>
              <w:rPr>
                <w:rFonts w:hint="eastAsia"/>
              </w:rPr>
              <w:t>分类</w:t>
            </w:r>
          </w:p>
        </w:tc>
        <w:tc>
          <w:tcPr>
            <w:tcW w:w="1455" w:type="dxa"/>
            <w:tcBorders>
              <w:left w:val="single" w:color="000000" w:sz="4" w:space="0"/>
              <w:bottom w:val="single" w:color="000000" w:sz="4" w:space="0"/>
              <w:right w:val="single" w:color="000000" w:sz="4" w:space="0"/>
            </w:tcBorders>
            <w:vAlign w:val="center"/>
          </w:tcPr>
          <w:p>
            <w:pPr>
              <w:pStyle w:val="38"/>
            </w:pPr>
            <w:r>
              <w:rPr>
                <w:rFonts w:hint="eastAsia"/>
              </w:rPr>
              <w:t>污染物名称</w:t>
            </w:r>
          </w:p>
        </w:tc>
        <w:tc>
          <w:tcPr>
            <w:tcW w:w="1749" w:type="dxa"/>
            <w:tcBorders>
              <w:left w:val="single" w:color="000000" w:sz="4" w:space="0"/>
              <w:bottom w:val="single" w:color="000000" w:sz="4" w:space="0"/>
              <w:right w:val="single" w:color="000000" w:sz="4" w:space="0"/>
            </w:tcBorders>
            <w:vAlign w:val="center"/>
          </w:tcPr>
          <w:p>
            <w:pPr>
              <w:pStyle w:val="38"/>
            </w:pPr>
            <w:r>
              <w:rPr>
                <w:rFonts w:hint="eastAsia"/>
              </w:rPr>
              <w:t>现有工程</w:t>
            </w:r>
          </w:p>
          <w:p>
            <w:pPr>
              <w:pStyle w:val="38"/>
            </w:pPr>
            <w:r>
              <w:rPr>
                <w:rFonts w:hint="eastAsia"/>
              </w:rPr>
              <w:t>排放量（固体废物产生量）①</w:t>
            </w:r>
          </w:p>
        </w:tc>
        <w:tc>
          <w:tcPr>
            <w:tcW w:w="1312" w:type="dxa"/>
            <w:tcBorders>
              <w:left w:val="single" w:color="000000" w:sz="4" w:space="0"/>
              <w:bottom w:val="single" w:color="000000" w:sz="4" w:space="0"/>
              <w:right w:val="single" w:color="000000" w:sz="4" w:space="0"/>
            </w:tcBorders>
            <w:vAlign w:val="center"/>
          </w:tcPr>
          <w:p>
            <w:pPr>
              <w:pStyle w:val="38"/>
            </w:pPr>
            <w:r>
              <w:rPr>
                <w:rFonts w:hint="eastAsia"/>
              </w:rPr>
              <w:t>现有工程 许可排放量</w:t>
            </w:r>
          </w:p>
          <w:p>
            <w:pPr>
              <w:pStyle w:val="38"/>
            </w:pPr>
            <w:r>
              <w:t>②</w:t>
            </w:r>
          </w:p>
        </w:tc>
        <w:tc>
          <w:tcPr>
            <w:tcW w:w="1749" w:type="dxa"/>
            <w:tcBorders>
              <w:left w:val="single" w:color="000000" w:sz="4" w:space="0"/>
              <w:bottom w:val="single" w:color="000000" w:sz="4" w:space="0"/>
              <w:right w:val="single" w:color="000000" w:sz="4" w:space="0"/>
            </w:tcBorders>
            <w:vAlign w:val="center"/>
          </w:tcPr>
          <w:p>
            <w:pPr>
              <w:pStyle w:val="38"/>
            </w:pPr>
            <w:r>
              <w:rPr>
                <w:rFonts w:hint="eastAsia"/>
              </w:rPr>
              <w:t>在建工程</w:t>
            </w:r>
          </w:p>
          <w:p>
            <w:pPr>
              <w:pStyle w:val="38"/>
            </w:pPr>
            <w:r>
              <w:rPr>
                <w:rFonts w:hint="eastAsia"/>
              </w:rPr>
              <w:t>排放量（固体废物产生量）③</w:t>
            </w:r>
          </w:p>
        </w:tc>
        <w:tc>
          <w:tcPr>
            <w:tcW w:w="1601" w:type="dxa"/>
            <w:tcBorders>
              <w:left w:val="single" w:color="000000" w:sz="4" w:space="0"/>
              <w:bottom w:val="single" w:color="000000" w:sz="4" w:space="0"/>
              <w:right w:val="single" w:color="000000" w:sz="4" w:space="0"/>
            </w:tcBorders>
            <w:vAlign w:val="center"/>
          </w:tcPr>
          <w:p>
            <w:pPr>
              <w:pStyle w:val="38"/>
            </w:pPr>
            <w:r>
              <w:rPr>
                <w:rFonts w:hint="eastAsia"/>
              </w:rPr>
              <w:t>本项目</w:t>
            </w:r>
          </w:p>
          <w:p>
            <w:pPr>
              <w:pStyle w:val="38"/>
            </w:pPr>
            <w:r>
              <w:rPr>
                <w:rFonts w:hint="eastAsia"/>
              </w:rPr>
              <w:t>排放量（固体废物产生量）④</w:t>
            </w:r>
          </w:p>
        </w:tc>
        <w:tc>
          <w:tcPr>
            <w:tcW w:w="1812" w:type="dxa"/>
            <w:tcBorders>
              <w:left w:val="single" w:color="000000" w:sz="4" w:space="0"/>
              <w:bottom w:val="single" w:color="000000" w:sz="4" w:space="0"/>
              <w:right w:val="single" w:color="000000" w:sz="4" w:space="0"/>
            </w:tcBorders>
            <w:vAlign w:val="center"/>
          </w:tcPr>
          <w:p>
            <w:pPr>
              <w:pStyle w:val="38"/>
            </w:pPr>
            <w:r>
              <w:rPr>
                <w:rFonts w:hint="eastAsia"/>
              </w:rPr>
              <w:t>以新带老削减量</w:t>
            </w:r>
          </w:p>
          <w:p>
            <w:pPr>
              <w:pStyle w:val="38"/>
            </w:pPr>
            <w:r>
              <w:rPr>
                <w:rFonts w:hint="eastAsia"/>
              </w:rPr>
              <w:t>（新建项目不填）⑤</w:t>
            </w:r>
          </w:p>
        </w:tc>
        <w:tc>
          <w:tcPr>
            <w:tcW w:w="2013" w:type="dxa"/>
            <w:tcBorders>
              <w:left w:val="single" w:color="000000" w:sz="4" w:space="0"/>
              <w:bottom w:val="single" w:color="000000" w:sz="4" w:space="0"/>
              <w:right w:val="single" w:color="000000" w:sz="4" w:space="0"/>
            </w:tcBorders>
            <w:vAlign w:val="center"/>
          </w:tcPr>
          <w:p>
            <w:pPr>
              <w:pStyle w:val="38"/>
            </w:pPr>
            <w:r>
              <w:rPr>
                <w:rFonts w:hint="eastAsia"/>
              </w:rPr>
              <w:t>本项目建成后</w:t>
            </w:r>
          </w:p>
          <w:p>
            <w:pPr>
              <w:pStyle w:val="38"/>
            </w:pPr>
            <w:r>
              <w:rPr>
                <w:rFonts w:hint="eastAsia"/>
              </w:rPr>
              <w:t>全厂排放量（固体废物产生量）⑥</w:t>
            </w:r>
          </w:p>
        </w:tc>
        <w:tc>
          <w:tcPr>
            <w:tcW w:w="849" w:type="dxa"/>
            <w:tcBorders>
              <w:left w:val="single" w:color="000000" w:sz="4" w:space="0"/>
              <w:bottom w:val="single" w:color="000000" w:sz="4" w:space="0"/>
            </w:tcBorders>
            <w:vAlign w:val="center"/>
          </w:tcPr>
          <w:p>
            <w:pPr>
              <w:pStyle w:val="38"/>
            </w:pPr>
            <w:r>
              <w:rPr>
                <w:rFonts w:hint="eastAsia"/>
              </w:rPr>
              <w:t>变化量</w:t>
            </w:r>
          </w:p>
          <w:p>
            <w:pPr>
              <w:pStyle w:val="38"/>
            </w:pPr>
            <w:r>
              <w:t>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633" w:type="dxa"/>
            <w:vMerge w:val="restart"/>
            <w:tcBorders>
              <w:top w:val="single" w:color="000000" w:sz="4" w:space="0"/>
              <w:right w:val="single" w:color="000000" w:sz="4" w:space="0"/>
            </w:tcBorders>
            <w:vAlign w:val="center"/>
          </w:tcPr>
          <w:p>
            <w:pPr>
              <w:pStyle w:val="38"/>
            </w:pPr>
            <w:r>
              <w:t>废气</w:t>
            </w:r>
          </w:p>
        </w:tc>
        <w:tc>
          <w:tcPr>
            <w:tcW w:w="1455" w:type="dxa"/>
            <w:tcBorders>
              <w:top w:val="single" w:color="000000" w:sz="4" w:space="0"/>
              <w:left w:val="single" w:color="000000" w:sz="4" w:space="0"/>
              <w:bottom w:val="single" w:color="000000" w:sz="4" w:space="0"/>
              <w:right w:val="single" w:color="000000" w:sz="4" w:space="0"/>
            </w:tcBorders>
            <w:vAlign w:val="center"/>
          </w:tcPr>
          <w:p>
            <w:pPr>
              <w:pStyle w:val="38"/>
            </w:pPr>
            <w:r>
              <w:rPr>
                <w:rFonts w:hint="eastAsia"/>
              </w:rPr>
              <w:t>颗粒物</w:t>
            </w:r>
          </w:p>
        </w:tc>
        <w:tc>
          <w:tcPr>
            <w:tcW w:w="1749"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1312"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1749"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1601" w:type="dxa"/>
            <w:tcBorders>
              <w:top w:val="single" w:color="000000" w:sz="4" w:space="0"/>
              <w:left w:val="single" w:color="000000" w:sz="4" w:space="0"/>
              <w:bottom w:val="single" w:color="000000" w:sz="4" w:space="0"/>
              <w:right w:val="single" w:color="000000" w:sz="4" w:space="0"/>
            </w:tcBorders>
            <w:vAlign w:val="center"/>
          </w:tcPr>
          <w:p>
            <w:pPr>
              <w:pStyle w:val="38"/>
              <w:rPr>
                <w:rFonts w:hint="default" w:eastAsia="宋体"/>
                <w:lang w:val="en-US" w:eastAsia="zh-CN"/>
              </w:rPr>
            </w:pPr>
            <w:r>
              <w:rPr>
                <w:rFonts w:hint="eastAsia"/>
                <w:lang w:val="en-US" w:eastAsia="zh-CN"/>
              </w:rPr>
              <w:t>0.42</w:t>
            </w:r>
          </w:p>
        </w:tc>
        <w:tc>
          <w:tcPr>
            <w:tcW w:w="1812"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2013" w:type="dxa"/>
            <w:tcBorders>
              <w:top w:val="single" w:color="000000" w:sz="4" w:space="0"/>
              <w:left w:val="single" w:color="000000" w:sz="4" w:space="0"/>
              <w:bottom w:val="single" w:color="000000" w:sz="4" w:space="0"/>
              <w:right w:val="single" w:color="000000" w:sz="4" w:space="0"/>
            </w:tcBorders>
            <w:vAlign w:val="center"/>
          </w:tcPr>
          <w:p>
            <w:pPr>
              <w:pStyle w:val="38"/>
              <w:ind w:firstLine="0" w:firstLineChars="0"/>
              <w:rPr>
                <w:rFonts w:hint="default" w:eastAsia="宋体"/>
                <w:lang w:val="en-US" w:eastAsia="zh-CN"/>
              </w:rPr>
            </w:pPr>
            <w:r>
              <w:rPr>
                <w:rFonts w:hint="eastAsia"/>
                <w:lang w:val="en-US" w:eastAsia="zh-CN"/>
              </w:rPr>
              <w:t>0.42</w:t>
            </w:r>
          </w:p>
        </w:tc>
        <w:tc>
          <w:tcPr>
            <w:tcW w:w="849" w:type="dxa"/>
            <w:tcBorders>
              <w:top w:val="single" w:color="000000" w:sz="4" w:space="0"/>
              <w:left w:val="single" w:color="000000" w:sz="4" w:space="0"/>
              <w:bottom w:val="single" w:color="000000" w:sz="4" w:space="0"/>
            </w:tcBorders>
            <w:vAlign w:val="center"/>
          </w:tcPr>
          <w:p>
            <w:pPr>
              <w:pStyle w:val="38"/>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633" w:type="dxa"/>
            <w:vMerge w:val="continue"/>
            <w:tcBorders>
              <w:right w:val="single" w:color="000000" w:sz="4" w:space="0"/>
            </w:tcBorders>
            <w:vAlign w:val="center"/>
          </w:tcPr>
          <w:p>
            <w:pPr>
              <w:pStyle w:val="38"/>
            </w:pPr>
          </w:p>
        </w:tc>
        <w:tc>
          <w:tcPr>
            <w:tcW w:w="1455" w:type="dxa"/>
            <w:tcBorders>
              <w:top w:val="single" w:color="000000" w:sz="4" w:space="0"/>
              <w:left w:val="single" w:color="000000" w:sz="4" w:space="0"/>
              <w:bottom w:val="single" w:color="000000" w:sz="4" w:space="0"/>
              <w:right w:val="single" w:color="000000" w:sz="4" w:space="0"/>
            </w:tcBorders>
            <w:vAlign w:val="center"/>
          </w:tcPr>
          <w:p>
            <w:pPr>
              <w:pStyle w:val="38"/>
              <w:rPr>
                <w:rFonts w:hint="eastAsia" w:eastAsia="宋体"/>
                <w:lang w:eastAsia="zh-CN"/>
              </w:rPr>
            </w:pPr>
            <w:r>
              <w:rPr>
                <w:rFonts w:hint="eastAsia"/>
                <w:lang w:eastAsia="zh-CN"/>
              </w:rPr>
              <w:t>氨</w:t>
            </w:r>
          </w:p>
        </w:tc>
        <w:tc>
          <w:tcPr>
            <w:tcW w:w="1749"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1312"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1749" w:type="dxa"/>
            <w:tcBorders>
              <w:top w:val="single" w:color="000000" w:sz="4" w:space="0"/>
              <w:left w:val="single" w:color="000000" w:sz="4" w:space="0"/>
              <w:bottom w:val="single" w:color="000000" w:sz="4" w:space="0"/>
              <w:right w:val="single" w:color="000000" w:sz="4" w:space="0"/>
            </w:tcBorders>
            <w:vAlign w:val="center"/>
          </w:tcPr>
          <w:p>
            <w:pPr>
              <w:pStyle w:val="38"/>
              <w:rPr>
                <w:lang w:val="en-US"/>
              </w:rPr>
            </w:pPr>
          </w:p>
        </w:tc>
        <w:tc>
          <w:tcPr>
            <w:tcW w:w="1601" w:type="dxa"/>
            <w:tcBorders>
              <w:top w:val="single" w:color="000000" w:sz="4" w:space="0"/>
              <w:left w:val="single" w:color="000000" w:sz="4" w:space="0"/>
              <w:bottom w:val="single" w:color="000000" w:sz="4" w:space="0"/>
              <w:right w:val="single" w:color="000000" w:sz="4" w:space="0"/>
            </w:tcBorders>
            <w:vAlign w:val="center"/>
          </w:tcPr>
          <w:p>
            <w:pPr>
              <w:pStyle w:val="38"/>
              <w:rPr>
                <w:rFonts w:hint="default" w:eastAsia="宋体"/>
                <w:lang w:val="en-US" w:eastAsia="zh-CN"/>
              </w:rPr>
            </w:pPr>
            <w:r>
              <w:rPr>
                <w:rFonts w:hint="eastAsia"/>
                <w:lang w:val="en-US" w:eastAsia="zh-CN"/>
              </w:rPr>
              <w:t>1.28</w:t>
            </w:r>
          </w:p>
        </w:tc>
        <w:tc>
          <w:tcPr>
            <w:tcW w:w="1812"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2013" w:type="dxa"/>
            <w:tcBorders>
              <w:top w:val="single" w:color="000000" w:sz="4" w:space="0"/>
              <w:left w:val="single" w:color="000000" w:sz="4" w:space="0"/>
              <w:bottom w:val="single" w:color="000000" w:sz="4" w:space="0"/>
              <w:right w:val="single" w:color="000000" w:sz="4" w:space="0"/>
            </w:tcBorders>
            <w:vAlign w:val="center"/>
          </w:tcPr>
          <w:p>
            <w:pPr>
              <w:pStyle w:val="38"/>
              <w:ind w:firstLine="0" w:firstLineChars="0"/>
              <w:rPr>
                <w:rFonts w:hint="default" w:eastAsia="宋体"/>
                <w:lang w:val="en-US" w:eastAsia="zh-CN"/>
              </w:rPr>
            </w:pPr>
            <w:r>
              <w:rPr>
                <w:rFonts w:hint="eastAsia"/>
                <w:lang w:val="en-US" w:eastAsia="zh-CN"/>
              </w:rPr>
              <w:t>1.28</w:t>
            </w:r>
          </w:p>
        </w:tc>
        <w:tc>
          <w:tcPr>
            <w:tcW w:w="849" w:type="dxa"/>
            <w:tcBorders>
              <w:top w:val="single" w:color="000000" w:sz="4" w:space="0"/>
              <w:left w:val="single" w:color="000000" w:sz="4" w:space="0"/>
              <w:bottom w:val="single" w:color="000000" w:sz="4" w:space="0"/>
            </w:tcBorders>
            <w:vAlign w:val="center"/>
          </w:tcPr>
          <w:p>
            <w:pPr>
              <w:pStyle w:val="38"/>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633" w:type="dxa"/>
            <w:vMerge w:val="continue"/>
            <w:tcBorders>
              <w:right w:val="single" w:color="000000" w:sz="4" w:space="0"/>
            </w:tcBorders>
            <w:vAlign w:val="center"/>
          </w:tcPr>
          <w:p>
            <w:pPr>
              <w:pStyle w:val="38"/>
            </w:pPr>
          </w:p>
        </w:tc>
        <w:tc>
          <w:tcPr>
            <w:tcW w:w="1455" w:type="dxa"/>
            <w:tcBorders>
              <w:top w:val="single" w:color="000000" w:sz="4" w:space="0"/>
              <w:left w:val="single" w:color="000000" w:sz="4" w:space="0"/>
              <w:bottom w:val="single" w:color="000000" w:sz="4" w:space="0"/>
              <w:right w:val="single" w:color="000000" w:sz="4" w:space="0"/>
            </w:tcBorders>
            <w:vAlign w:val="center"/>
          </w:tcPr>
          <w:p>
            <w:pPr>
              <w:pStyle w:val="38"/>
              <w:rPr>
                <w:rFonts w:hint="eastAsia"/>
                <w:lang w:eastAsia="zh-CN"/>
              </w:rPr>
            </w:pPr>
            <w:r>
              <w:rPr>
                <w:rFonts w:hint="eastAsia"/>
                <w:lang w:eastAsia="zh-CN"/>
              </w:rPr>
              <w:t>硫化氢</w:t>
            </w:r>
          </w:p>
        </w:tc>
        <w:tc>
          <w:tcPr>
            <w:tcW w:w="1749"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1312"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1749" w:type="dxa"/>
            <w:tcBorders>
              <w:top w:val="single" w:color="000000" w:sz="4" w:space="0"/>
              <w:left w:val="single" w:color="000000" w:sz="4" w:space="0"/>
              <w:bottom w:val="single" w:color="000000" w:sz="4" w:space="0"/>
              <w:right w:val="single" w:color="000000" w:sz="4" w:space="0"/>
            </w:tcBorders>
            <w:vAlign w:val="center"/>
          </w:tcPr>
          <w:p>
            <w:pPr>
              <w:pStyle w:val="38"/>
              <w:rPr>
                <w:lang w:val="en-US"/>
              </w:rPr>
            </w:pPr>
          </w:p>
        </w:tc>
        <w:tc>
          <w:tcPr>
            <w:tcW w:w="1601" w:type="dxa"/>
            <w:tcBorders>
              <w:top w:val="single" w:color="000000" w:sz="4" w:space="0"/>
              <w:left w:val="single" w:color="000000" w:sz="4" w:space="0"/>
              <w:bottom w:val="single" w:color="000000" w:sz="4" w:space="0"/>
              <w:right w:val="single" w:color="000000" w:sz="4" w:space="0"/>
            </w:tcBorders>
            <w:vAlign w:val="center"/>
          </w:tcPr>
          <w:p>
            <w:pPr>
              <w:pStyle w:val="38"/>
              <w:rPr>
                <w:rFonts w:hint="default"/>
                <w:lang w:val="en-US" w:eastAsia="zh-CN"/>
              </w:rPr>
            </w:pPr>
            <w:r>
              <w:rPr>
                <w:rFonts w:hint="eastAsia"/>
                <w:lang w:val="en-US" w:eastAsia="zh-CN"/>
              </w:rPr>
              <w:t>0.04</w:t>
            </w:r>
          </w:p>
        </w:tc>
        <w:tc>
          <w:tcPr>
            <w:tcW w:w="1812"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2013" w:type="dxa"/>
            <w:tcBorders>
              <w:top w:val="single" w:color="000000" w:sz="4" w:space="0"/>
              <w:left w:val="single" w:color="000000" w:sz="4" w:space="0"/>
              <w:bottom w:val="single" w:color="000000" w:sz="4" w:space="0"/>
              <w:right w:val="single" w:color="000000" w:sz="4" w:space="0"/>
            </w:tcBorders>
            <w:vAlign w:val="center"/>
          </w:tcPr>
          <w:p>
            <w:pPr>
              <w:pStyle w:val="38"/>
              <w:ind w:firstLine="0" w:firstLineChars="0"/>
              <w:rPr>
                <w:rFonts w:hint="default"/>
                <w:lang w:val="en-US" w:eastAsia="zh-CN"/>
              </w:rPr>
            </w:pPr>
            <w:r>
              <w:rPr>
                <w:rFonts w:hint="eastAsia"/>
                <w:lang w:val="en-US" w:eastAsia="zh-CN"/>
              </w:rPr>
              <w:t>0.04</w:t>
            </w:r>
          </w:p>
        </w:tc>
        <w:tc>
          <w:tcPr>
            <w:tcW w:w="849" w:type="dxa"/>
            <w:tcBorders>
              <w:top w:val="single" w:color="000000" w:sz="4" w:space="0"/>
              <w:left w:val="single" w:color="000000" w:sz="4" w:space="0"/>
              <w:bottom w:val="single" w:color="000000" w:sz="4" w:space="0"/>
            </w:tcBorders>
            <w:vAlign w:val="center"/>
          </w:tcPr>
          <w:p>
            <w:pPr>
              <w:pStyle w:val="38"/>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7" w:hRule="atLeast"/>
          <w:jc w:val="center"/>
        </w:trPr>
        <w:tc>
          <w:tcPr>
            <w:tcW w:w="1633" w:type="dxa"/>
            <w:vMerge w:val="continue"/>
            <w:tcBorders>
              <w:bottom w:val="single" w:color="000000" w:sz="4" w:space="0"/>
              <w:right w:val="single" w:color="000000" w:sz="4" w:space="0"/>
            </w:tcBorders>
            <w:vAlign w:val="center"/>
          </w:tcPr>
          <w:p>
            <w:pPr>
              <w:pStyle w:val="38"/>
            </w:pPr>
          </w:p>
        </w:tc>
        <w:tc>
          <w:tcPr>
            <w:tcW w:w="1455" w:type="dxa"/>
            <w:tcBorders>
              <w:top w:val="single" w:color="000000" w:sz="4" w:space="0"/>
              <w:left w:val="single" w:color="000000" w:sz="4" w:space="0"/>
              <w:bottom w:val="single" w:color="000000" w:sz="4" w:space="0"/>
              <w:right w:val="single" w:color="000000" w:sz="4" w:space="0"/>
            </w:tcBorders>
            <w:vAlign w:val="center"/>
          </w:tcPr>
          <w:p>
            <w:pPr>
              <w:pStyle w:val="38"/>
              <w:rPr>
                <w:rFonts w:hint="eastAsia"/>
                <w:lang w:eastAsia="zh-CN"/>
              </w:rPr>
            </w:pPr>
            <w:r>
              <w:rPr>
                <w:rFonts w:hint="eastAsia"/>
                <w:lang w:eastAsia="zh-CN"/>
              </w:rPr>
              <w:t>臭气浓度</w:t>
            </w:r>
          </w:p>
        </w:tc>
        <w:tc>
          <w:tcPr>
            <w:tcW w:w="1749"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1312"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1749" w:type="dxa"/>
            <w:tcBorders>
              <w:top w:val="single" w:color="000000" w:sz="4" w:space="0"/>
              <w:left w:val="single" w:color="000000" w:sz="4" w:space="0"/>
              <w:bottom w:val="single" w:color="000000" w:sz="4" w:space="0"/>
              <w:right w:val="single" w:color="000000" w:sz="4" w:space="0"/>
            </w:tcBorders>
            <w:vAlign w:val="center"/>
          </w:tcPr>
          <w:p>
            <w:pPr>
              <w:pStyle w:val="38"/>
              <w:rPr>
                <w:lang w:val="en-US"/>
              </w:rPr>
            </w:pPr>
          </w:p>
        </w:tc>
        <w:tc>
          <w:tcPr>
            <w:tcW w:w="1601" w:type="dxa"/>
            <w:tcBorders>
              <w:top w:val="single" w:color="000000" w:sz="4" w:space="0"/>
              <w:left w:val="single" w:color="000000" w:sz="4" w:space="0"/>
              <w:bottom w:val="single" w:color="000000" w:sz="4" w:space="0"/>
              <w:right w:val="single" w:color="000000" w:sz="4" w:space="0"/>
            </w:tcBorders>
            <w:vAlign w:val="center"/>
          </w:tcPr>
          <w:p>
            <w:pPr>
              <w:pStyle w:val="38"/>
              <w:rPr>
                <w:rFonts w:hint="default"/>
                <w:lang w:val="en-US" w:eastAsia="zh-CN"/>
              </w:rPr>
            </w:pPr>
            <w:r>
              <w:rPr>
                <w:rFonts w:hint="eastAsia"/>
                <w:lang w:val="en-US" w:eastAsia="zh-CN"/>
              </w:rPr>
              <w:t>/</w:t>
            </w:r>
          </w:p>
        </w:tc>
        <w:tc>
          <w:tcPr>
            <w:tcW w:w="1812"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2013" w:type="dxa"/>
            <w:tcBorders>
              <w:top w:val="single" w:color="000000" w:sz="4" w:space="0"/>
              <w:left w:val="single" w:color="000000" w:sz="4" w:space="0"/>
              <w:bottom w:val="single" w:color="000000" w:sz="4" w:space="0"/>
              <w:right w:val="single" w:color="000000" w:sz="4" w:space="0"/>
            </w:tcBorders>
            <w:vAlign w:val="center"/>
          </w:tcPr>
          <w:p>
            <w:pPr>
              <w:pStyle w:val="38"/>
              <w:ind w:firstLine="0" w:firstLineChars="0"/>
              <w:rPr>
                <w:rFonts w:hint="default"/>
                <w:lang w:val="en-US" w:eastAsia="zh-CN"/>
              </w:rPr>
            </w:pPr>
            <w:r>
              <w:rPr>
                <w:rFonts w:hint="eastAsia"/>
                <w:lang w:val="en-US" w:eastAsia="zh-CN"/>
              </w:rPr>
              <w:t>/</w:t>
            </w:r>
          </w:p>
        </w:tc>
        <w:tc>
          <w:tcPr>
            <w:tcW w:w="849" w:type="dxa"/>
            <w:tcBorders>
              <w:top w:val="single" w:color="000000" w:sz="4" w:space="0"/>
              <w:left w:val="single" w:color="000000" w:sz="4" w:space="0"/>
              <w:bottom w:val="single" w:color="000000" w:sz="4" w:space="0"/>
            </w:tcBorders>
            <w:vAlign w:val="center"/>
          </w:tcPr>
          <w:p>
            <w:pPr>
              <w:pStyle w:val="38"/>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633" w:type="dxa"/>
            <w:vMerge w:val="restart"/>
            <w:tcBorders>
              <w:top w:val="single" w:color="000000" w:sz="4" w:space="0"/>
              <w:right w:val="single" w:color="000000" w:sz="4" w:space="0"/>
            </w:tcBorders>
            <w:vAlign w:val="center"/>
          </w:tcPr>
          <w:p>
            <w:pPr>
              <w:pStyle w:val="38"/>
            </w:pPr>
            <w:r>
              <w:t>废水</w:t>
            </w:r>
          </w:p>
        </w:tc>
        <w:tc>
          <w:tcPr>
            <w:tcW w:w="1455" w:type="dxa"/>
            <w:tcBorders>
              <w:top w:val="single" w:color="000000" w:sz="4" w:space="0"/>
              <w:left w:val="single" w:color="000000" w:sz="4" w:space="0"/>
              <w:bottom w:val="single" w:color="000000" w:sz="4" w:space="0"/>
              <w:right w:val="single" w:color="000000" w:sz="4" w:space="0"/>
            </w:tcBorders>
            <w:vAlign w:val="center"/>
          </w:tcPr>
          <w:p>
            <w:pPr>
              <w:pStyle w:val="38"/>
            </w:pPr>
            <w:r>
              <w:rPr>
                <w:rFonts w:hint="eastAsia"/>
                <w:lang w:val="en-US"/>
              </w:rPr>
              <w:t>COD</w:t>
            </w:r>
          </w:p>
        </w:tc>
        <w:tc>
          <w:tcPr>
            <w:tcW w:w="1749"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1312"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1749" w:type="dxa"/>
            <w:tcBorders>
              <w:top w:val="single" w:color="000000" w:sz="4" w:space="0"/>
              <w:left w:val="single" w:color="000000" w:sz="4" w:space="0"/>
              <w:bottom w:val="single" w:color="000000" w:sz="4" w:space="0"/>
              <w:right w:val="single" w:color="000000" w:sz="4" w:space="0"/>
            </w:tcBorders>
            <w:vAlign w:val="center"/>
          </w:tcPr>
          <w:p>
            <w:pPr>
              <w:pStyle w:val="38"/>
              <w:rPr>
                <w:lang w:val="en-US"/>
              </w:rPr>
            </w:pPr>
          </w:p>
        </w:tc>
        <w:tc>
          <w:tcPr>
            <w:tcW w:w="1601" w:type="dxa"/>
            <w:tcBorders>
              <w:top w:val="single" w:color="000000" w:sz="4" w:space="0"/>
              <w:left w:val="single" w:color="000000" w:sz="4" w:space="0"/>
              <w:bottom w:val="single" w:color="000000" w:sz="4" w:space="0"/>
              <w:right w:val="single" w:color="000000" w:sz="4" w:space="0"/>
            </w:tcBorders>
            <w:vAlign w:val="center"/>
          </w:tcPr>
          <w:p>
            <w:pPr>
              <w:pStyle w:val="38"/>
              <w:rPr>
                <w:rFonts w:hint="default" w:eastAsia="宋体"/>
                <w:lang w:val="en-US" w:eastAsia="zh-CN"/>
              </w:rPr>
            </w:pPr>
            <w:r>
              <w:rPr>
                <w:rFonts w:hint="eastAsia"/>
                <w:lang w:val="en-US" w:eastAsia="zh-CN"/>
              </w:rPr>
              <w:t>0.55</w:t>
            </w:r>
          </w:p>
        </w:tc>
        <w:tc>
          <w:tcPr>
            <w:tcW w:w="1812"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2013" w:type="dxa"/>
            <w:tcBorders>
              <w:top w:val="single" w:color="000000" w:sz="4" w:space="0"/>
              <w:left w:val="single" w:color="000000" w:sz="4" w:space="0"/>
              <w:bottom w:val="single" w:color="000000" w:sz="4" w:space="0"/>
              <w:right w:val="single" w:color="000000" w:sz="4" w:space="0"/>
            </w:tcBorders>
            <w:vAlign w:val="center"/>
          </w:tcPr>
          <w:p>
            <w:pPr>
              <w:pStyle w:val="38"/>
              <w:ind w:firstLine="0" w:firstLineChars="0"/>
              <w:rPr>
                <w:rFonts w:hint="eastAsia" w:eastAsia="宋体"/>
                <w:lang w:val="en-US" w:eastAsia="zh-CN"/>
              </w:rPr>
            </w:pPr>
            <w:r>
              <w:rPr>
                <w:rFonts w:hint="eastAsia"/>
                <w:lang w:val="en-US" w:eastAsia="zh-CN"/>
              </w:rPr>
              <w:t>0.55</w:t>
            </w:r>
          </w:p>
        </w:tc>
        <w:tc>
          <w:tcPr>
            <w:tcW w:w="849" w:type="dxa"/>
            <w:tcBorders>
              <w:top w:val="single" w:color="000000" w:sz="4" w:space="0"/>
              <w:left w:val="single" w:color="000000" w:sz="4" w:space="0"/>
              <w:bottom w:val="single" w:color="000000" w:sz="4" w:space="0"/>
            </w:tcBorders>
            <w:vAlign w:val="center"/>
          </w:tcPr>
          <w:p>
            <w:pPr>
              <w:pStyle w:val="38"/>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633" w:type="dxa"/>
            <w:vMerge w:val="continue"/>
            <w:tcBorders>
              <w:right w:val="single" w:color="000000" w:sz="4" w:space="0"/>
            </w:tcBorders>
            <w:vAlign w:val="center"/>
          </w:tcPr>
          <w:p>
            <w:pPr>
              <w:pStyle w:val="38"/>
            </w:pPr>
          </w:p>
        </w:tc>
        <w:tc>
          <w:tcPr>
            <w:tcW w:w="1455" w:type="dxa"/>
            <w:tcBorders>
              <w:top w:val="single" w:color="000000" w:sz="4" w:space="0"/>
              <w:left w:val="single" w:color="000000" w:sz="4" w:space="0"/>
              <w:bottom w:val="single" w:color="000000" w:sz="4" w:space="0"/>
              <w:right w:val="single" w:color="000000" w:sz="4" w:space="0"/>
            </w:tcBorders>
            <w:vAlign w:val="center"/>
          </w:tcPr>
          <w:p>
            <w:pPr>
              <w:pStyle w:val="38"/>
            </w:pPr>
            <w:r>
              <w:rPr>
                <w:rFonts w:hint="eastAsia"/>
              </w:rPr>
              <w:t>氨氮</w:t>
            </w:r>
          </w:p>
        </w:tc>
        <w:tc>
          <w:tcPr>
            <w:tcW w:w="1749"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1312"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1749"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1601" w:type="dxa"/>
            <w:tcBorders>
              <w:top w:val="single" w:color="000000" w:sz="4" w:space="0"/>
              <w:left w:val="single" w:color="000000" w:sz="4" w:space="0"/>
              <w:bottom w:val="single" w:color="000000" w:sz="4" w:space="0"/>
              <w:right w:val="single" w:color="000000" w:sz="4" w:space="0"/>
            </w:tcBorders>
            <w:vAlign w:val="center"/>
          </w:tcPr>
          <w:p>
            <w:pPr>
              <w:pStyle w:val="38"/>
              <w:rPr>
                <w:rFonts w:hint="default" w:eastAsia="宋体"/>
                <w:lang w:val="en-US" w:eastAsia="zh-CN"/>
              </w:rPr>
            </w:pPr>
            <w:r>
              <w:rPr>
                <w:rFonts w:hint="eastAsia"/>
                <w:lang w:val="en-US" w:eastAsia="zh-CN"/>
              </w:rPr>
              <w:t>0.11</w:t>
            </w:r>
          </w:p>
        </w:tc>
        <w:tc>
          <w:tcPr>
            <w:tcW w:w="1812"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2013" w:type="dxa"/>
            <w:tcBorders>
              <w:top w:val="single" w:color="000000" w:sz="4" w:space="0"/>
              <w:left w:val="single" w:color="000000" w:sz="4" w:space="0"/>
              <w:bottom w:val="single" w:color="000000" w:sz="4" w:space="0"/>
              <w:right w:val="single" w:color="000000" w:sz="4" w:space="0"/>
            </w:tcBorders>
            <w:vAlign w:val="center"/>
          </w:tcPr>
          <w:p>
            <w:pPr>
              <w:pStyle w:val="38"/>
              <w:ind w:firstLine="0" w:firstLineChars="0"/>
              <w:rPr>
                <w:rFonts w:hint="eastAsia" w:eastAsia="宋体"/>
                <w:lang w:eastAsia="zh-CN"/>
              </w:rPr>
            </w:pPr>
            <w:r>
              <w:rPr>
                <w:rFonts w:hint="eastAsia"/>
                <w:lang w:val="en-US" w:eastAsia="zh-CN"/>
              </w:rPr>
              <w:t>0.11</w:t>
            </w:r>
          </w:p>
        </w:tc>
        <w:tc>
          <w:tcPr>
            <w:tcW w:w="849" w:type="dxa"/>
            <w:tcBorders>
              <w:top w:val="single" w:color="000000" w:sz="4" w:space="0"/>
              <w:left w:val="single" w:color="000000" w:sz="4" w:space="0"/>
              <w:bottom w:val="single" w:color="000000" w:sz="4" w:space="0"/>
            </w:tcBorders>
            <w:vAlign w:val="center"/>
          </w:tcPr>
          <w:p>
            <w:pPr>
              <w:pStyle w:val="38"/>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633" w:type="dxa"/>
            <w:vMerge w:val="continue"/>
            <w:tcBorders>
              <w:right w:val="single" w:color="000000" w:sz="4" w:space="0"/>
            </w:tcBorders>
            <w:vAlign w:val="center"/>
          </w:tcPr>
          <w:p>
            <w:pPr>
              <w:pStyle w:val="38"/>
            </w:pPr>
          </w:p>
        </w:tc>
        <w:tc>
          <w:tcPr>
            <w:tcW w:w="1455" w:type="dxa"/>
            <w:tcBorders>
              <w:top w:val="single" w:color="000000" w:sz="4" w:space="0"/>
              <w:left w:val="single" w:color="000000" w:sz="4" w:space="0"/>
              <w:bottom w:val="single" w:color="000000" w:sz="4" w:space="0"/>
              <w:right w:val="single" w:color="000000" w:sz="4" w:space="0"/>
            </w:tcBorders>
            <w:vAlign w:val="center"/>
          </w:tcPr>
          <w:p>
            <w:pPr>
              <w:pStyle w:val="38"/>
              <w:rPr>
                <w:rFonts w:hint="default" w:eastAsia="宋体"/>
                <w:lang w:val="en-US" w:eastAsia="zh-CN"/>
              </w:rPr>
            </w:pPr>
            <w:r>
              <w:rPr>
                <w:rFonts w:hint="eastAsia"/>
                <w:lang w:val="en-US" w:eastAsia="zh-CN"/>
              </w:rPr>
              <w:t>BOD</w:t>
            </w:r>
            <w:r>
              <w:rPr>
                <w:rFonts w:hint="eastAsia"/>
                <w:vertAlign w:val="subscript"/>
                <w:lang w:val="en-US" w:eastAsia="zh-CN"/>
              </w:rPr>
              <w:t>5</w:t>
            </w:r>
          </w:p>
        </w:tc>
        <w:tc>
          <w:tcPr>
            <w:tcW w:w="1749"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1312"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1749"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1601" w:type="dxa"/>
            <w:tcBorders>
              <w:top w:val="single" w:color="000000" w:sz="4" w:space="0"/>
              <w:left w:val="single" w:color="000000" w:sz="4" w:space="0"/>
              <w:bottom w:val="single" w:color="000000" w:sz="4" w:space="0"/>
              <w:right w:val="single" w:color="000000" w:sz="4" w:space="0"/>
            </w:tcBorders>
            <w:vAlign w:val="center"/>
          </w:tcPr>
          <w:p>
            <w:pPr>
              <w:pStyle w:val="38"/>
              <w:rPr>
                <w:rFonts w:hint="default" w:eastAsia="宋体"/>
                <w:lang w:val="en-US" w:eastAsia="zh-CN"/>
              </w:rPr>
            </w:pPr>
            <w:r>
              <w:rPr>
                <w:rFonts w:hint="eastAsia"/>
                <w:lang w:val="en-US" w:eastAsia="zh-CN"/>
              </w:rPr>
              <w:t>0.21</w:t>
            </w:r>
          </w:p>
        </w:tc>
        <w:tc>
          <w:tcPr>
            <w:tcW w:w="1812"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2013" w:type="dxa"/>
            <w:tcBorders>
              <w:top w:val="single" w:color="000000" w:sz="4" w:space="0"/>
              <w:left w:val="single" w:color="000000" w:sz="4" w:space="0"/>
              <w:bottom w:val="single" w:color="000000" w:sz="4" w:space="0"/>
              <w:right w:val="single" w:color="000000" w:sz="4" w:space="0"/>
            </w:tcBorders>
            <w:vAlign w:val="center"/>
          </w:tcPr>
          <w:p>
            <w:pPr>
              <w:pStyle w:val="38"/>
              <w:ind w:firstLine="0" w:firstLineChars="0"/>
              <w:rPr>
                <w:rFonts w:hint="eastAsia" w:eastAsia="宋体"/>
                <w:lang w:val="en-US" w:eastAsia="zh-CN"/>
              </w:rPr>
            </w:pPr>
            <w:r>
              <w:rPr>
                <w:rFonts w:hint="eastAsia"/>
                <w:lang w:val="en-US" w:eastAsia="zh-CN"/>
              </w:rPr>
              <w:t>0.21</w:t>
            </w:r>
          </w:p>
        </w:tc>
        <w:tc>
          <w:tcPr>
            <w:tcW w:w="849" w:type="dxa"/>
            <w:tcBorders>
              <w:top w:val="single" w:color="000000" w:sz="4" w:space="0"/>
              <w:left w:val="single" w:color="000000" w:sz="4" w:space="0"/>
              <w:bottom w:val="single" w:color="000000" w:sz="4" w:space="0"/>
            </w:tcBorders>
            <w:vAlign w:val="center"/>
          </w:tcPr>
          <w:p>
            <w:pPr>
              <w:pStyle w:val="38"/>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633" w:type="dxa"/>
            <w:vMerge w:val="continue"/>
            <w:tcBorders>
              <w:bottom w:val="single" w:color="000000" w:sz="4" w:space="0"/>
              <w:right w:val="single" w:color="000000" w:sz="4" w:space="0"/>
            </w:tcBorders>
            <w:vAlign w:val="center"/>
          </w:tcPr>
          <w:p>
            <w:pPr>
              <w:pStyle w:val="38"/>
            </w:pPr>
          </w:p>
        </w:tc>
        <w:tc>
          <w:tcPr>
            <w:tcW w:w="1455" w:type="dxa"/>
            <w:tcBorders>
              <w:top w:val="single" w:color="000000" w:sz="4" w:space="0"/>
              <w:left w:val="single" w:color="000000" w:sz="4" w:space="0"/>
              <w:bottom w:val="single" w:color="000000" w:sz="4" w:space="0"/>
              <w:right w:val="single" w:color="000000" w:sz="4" w:space="0"/>
            </w:tcBorders>
            <w:vAlign w:val="center"/>
          </w:tcPr>
          <w:p>
            <w:pPr>
              <w:pStyle w:val="38"/>
              <w:rPr>
                <w:rFonts w:hint="default" w:eastAsia="宋体"/>
                <w:lang w:val="en-US" w:eastAsia="zh-CN"/>
              </w:rPr>
            </w:pPr>
            <w:r>
              <w:rPr>
                <w:rFonts w:hint="eastAsia"/>
                <w:lang w:val="en-US" w:eastAsia="zh-CN"/>
              </w:rPr>
              <w:t>SS</w:t>
            </w:r>
          </w:p>
        </w:tc>
        <w:tc>
          <w:tcPr>
            <w:tcW w:w="1749"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1312"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1749"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1601" w:type="dxa"/>
            <w:tcBorders>
              <w:top w:val="single" w:color="000000" w:sz="4" w:space="0"/>
              <w:left w:val="single" w:color="000000" w:sz="4" w:space="0"/>
              <w:bottom w:val="single" w:color="000000" w:sz="4" w:space="0"/>
              <w:right w:val="single" w:color="000000" w:sz="4" w:space="0"/>
            </w:tcBorders>
            <w:vAlign w:val="center"/>
          </w:tcPr>
          <w:p>
            <w:pPr>
              <w:pStyle w:val="38"/>
              <w:rPr>
                <w:rFonts w:hint="default" w:eastAsia="宋体"/>
                <w:lang w:val="en-US" w:eastAsia="zh-CN"/>
              </w:rPr>
            </w:pPr>
            <w:r>
              <w:rPr>
                <w:rFonts w:hint="eastAsia"/>
                <w:lang w:val="en-US" w:eastAsia="zh-CN"/>
              </w:rPr>
              <w:t>0.27</w:t>
            </w:r>
          </w:p>
        </w:tc>
        <w:tc>
          <w:tcPr>
            <w:tcW w:w="1812"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2013" w:type="dxa"/>
            <w:tcBorders>
              <w:top w:val="single" w:color="000000" w:sz="4" w:space="0"/>
              <w:left w:val="single" w:color="000000" w:sz="4" w:space="0"/>
              <w:bottom w:val="single" w:color="000000" w:sz="4" w:space="0"/>
              <w:right w:val="single" w:color="000000" w:sz="4" w:space="0"/>
            </w:tcBorders>
            <w:vAlign w:val="center"/>
          </w:tcPr>
          <w:p>
            <w:pPr>
              <w:pStyle w:val="38"/>
              <w:ind w:firstLine="0" w:firstLineChars="0"/>
              <w:rPr>
                <w:rFonts w:hint="eastAsia" w:eastAsia="宋体"/>
                <w:lang w:val="en-US" w:eastAsia="zh-CN"/>
              </w:rPr>
            </w:pPr>
            <w:r>
              <w:rPr>
                <w:rFonts w:hint="eastAsia"/>
                <w:lang w:val="en-US" w:eastAsia="zh-CN"/>
              </w:rPr>
              <w:t>0.27</w:t>
            </w:r>
          </w:p>
        </w:tc>
        <w:tc>
          <w:tcPr>
            <w:tcW w:w="849" w:type="dxa"/>
            <w:tcBorders>
              <w:top w:val="single" w:color="000000" w:sz="4" w:space="0"/>
              <w:left w:val="single" w:color="000000" w:sz="4" w:space="0"/>
              <w:bottom w:val="single" w:color="000000" w:sz="4" w:space="0"/>
            </w:tcBorders>
            <w:vAlign w:val="center"/>
          </w:tcPr>
          <w:p>
            <w:pPr>
              <w:pStyle w:val="38"/>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7" w:hRule="atLeast"/>
          <w:jc w:val="center"/>
        </w:trPr>
        <w:tc>
          <w:tcPr>
            <w:tcW w:w="1633" w:type="dxa"/>
            <w:tcBorders>
              <w:top w:val="single" w:color="000000" w:sz="4" w:space="0"/>
              <w:bottom w:val="single" w:color="000000" w:sz="4" w:space="0"/>
              <w:right w:val="single" w:color="000000" w:sz="4" w:space="0"/>
            </w:tcBorders>
            <w:vAlign w:val="center"/>
          </w:tcPr>
          <w:p>
            <w:pPr>
              <w:pStyle w:val="38"/>
            </w:pPr>
            <w:r>
              <w:t>一般工业固体废物</w:t>
            </w:r>
          </w:p>
        </w:tc>
        <w:tc>
          <w:tcPr>
            <w:tcW w:w="1455" w:type="dxa"/>
            <w:tcBorders>
              <w:top w:val="single" w:color="000000" w:sz="4" w:space="0"/>
              <w:left w:val="single" w:color="000000" w:sz="4" w:space="0"/>
              <w:bottom w:val="single" w:color="000000" w:sz="4" w:space="0"/>
              <w:right w:val="single" w:color="000000" w:sz="4" w:space="0"/>
            </w:tcBorders>
            <w:vAlign w:val="center"/>
          </w:tcPr>
          <w:p>
            <w:pPr>
              <w:pStyle w:val="38"/>
              <w:rPr>
                <w:rFonts w:hint="eastAsia" w:eastAsia="宋体"/>
                <w:lang w:eastAsia="zh-CN"/>
              </w:rPr>
            </w:pPr>
            <w:r>
              <w:rPr>
                <w:rFonts w:hint="eastAsia"/>
                <w:lang w:val="en-US" w:eastAsia="zh-CN"/>
              </w:rPr>
              <w:t>生活垃圾</w:t>
            </w:r>
          </w:p>
        </w:tc>
        <w:tc>
          <w:tcPr>
            <w:tcW w:w="1749"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1312"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1749"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1601" w:type="dxa"/>
            <w:tcBorders>
              <w:top w:val="single" w:color="000000" w:sz="4" w:space="0"/>
              <w:left w:val="single" w:color="000000" w:sz="4" w:space="0"/>
              <w:bottom w:val="single" w:color="000000" w:sz="4" w:space="0"/>
              <w:right w:val="single" w:color="000000" w:sz="4" w:space="0"/>
            </w:tcBorders>
            <w:vAlign w:val="center"/>
          </w:tcPr>
          <w:p>
            <w:pPr>
              <w:pStyle w:val="38"/>
              <w:rPr>
                <w:rFonts w:hint="default" w:eastAsia="宋体"/>
                <w:lang w:val="en-US" w:eastAsia="zh-CN"/>
              </w:rPr>
            </w:pPr>
            <w:r>
              <w:rPr>
                <w:rFonts w:hint="eastAsia"/>
                <w:lang w:val="en-US" w:eastAsia="zh-CN"/>
              </w:rPr>
              <w:t>0.91</w:t>
            </w:r>
          </w:p>
        </w:tc>
        <w:tc>
          <w:tcPr>
            <w:tcW w:w="1812"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2013" w:type="dxa"/>
            <w:tcBorders>
              <w:top w:val="single" w:color="000000" w:sz="4" w:space="0"/>
              <w:left w:val="single" w:color="000000" w:sz="4" w:space="0"/>
              <w:bottom w:val="single" w:color="000000" w:sz="4" w:space="0"/>
              <w:right w:val="single" w:color="000000" w:sz="4" w:space="0"/>
            </w:tcBorders>
            <w:vAlign w:val="center"/>
          </w:tcPr>
          <w:p>
            <w:pPr>
              <w:pStyle w:val="38"/>
              <w:rPr>
                <w:rFonts w:hint="default" w:eastAsia="宋体"/>
                <w:lang w:val="en-US" w:eastAsia="zh-CN"/>
              </w:rPr>
            </w:pPr>
            <w:r>
              <w:rPr>
                <w:rFonts w:hint="eastAsia"/>
                <w:lang w:val="en-US" w:eastAsia="zh-CN"/>
              </w:rPr>
              <w:t>0.91</w:t>
            </w:r>
          </w:p>
        </w:tc>
        <w:tc>
          <w:tcPr>
            <w:tcW w:w="849" w:type="dxa"/>
            <w:tcBorders>
              <w:top w:val="single" w:color="000000" w:sz="4" w:space="0"/>
              <w:left w:val="single" w:color="000000" w:sz="4" w:space="0"/>
              <w:bottom w:val="single" w:color="000000" w:sz="4" w:space="0"/>
            </w:tcBorders>
            <w:vAlign w:val="center"/>
          </w:tcPr>
          <w:p>
            <w:pPr>
              <w:pStyle w:val="38"/>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633" w:type="dxa"/>
            <w:tcBorders>
              <w:top w:val="single" w:color="auto" w:sz="4" w:space="0"/>
              <w:left w:val="single" w:color="auto" w:sz="4" w:space="0"/>
              <w:right w:val="single" w:color="000000" w:sz="4" w:space="0"/>
            </w:tcBorders>
            <w:vAlign w:val="center"/>
          </w:tcPr>
          <w:p>
            <w:pPr>
              <w:pStyle w:val="38"/>
            </w:pPr>
            <w:r>
              <w:t>危险废物</w:t>
            </w:r>
          </w:p>
        </w:tc>
        <w:tc>
          <w:tcPr>
            <w:tcW w:w="1455" w:type="dxa"/>
            <w:tcBorders>
              <w:top w:val="single" w:color="auto" w:sz="4" w:space="0"/>
              <w:left w:val="single" w:color="000000" w:sz="4" w:space="0"/>
              <w:bottom w:val="single" w:color="000000" w:sz="4" w:space="0"/>
              <w:right w:val="single" w:color="auto" w:sz="4" w:space="0"/>
            </w:tcBorders>
            <w:vAlign w:val="center"/>
          </w:tcPr>
          <w:p>
            <w:pPr>
              <w:pStyle w:val="38"/>
              <w:rPr>
                <w:rFonts w:hint="eastAsia" w:eastAsia="宋体"/>
                <w:lang w:eastAsia="zh-CN"/>
              </w:rPr>
            </w:pPr>
            <w:r>
              <w:rPr>
                <w:rFonts w:hint="eastAsia"/>
                <w:lang w:val="en-US" w:eastAsia="zh-CN"/>
              </w:rPr>
              <w:t xml:space="preserve"> 含油抹布、废机油等</w:t>
            </w:r>
          </w:p>
        </w:tc>
        <w:tc>
          <w:tcPr>
            <w:tcW w:w="1749" w:type="dxa"/>
            <w:tcBorders>
              <w:top w:val="single" w:color="000000" w:sz="4" w:space="0"/>
              <w:left w:val="single" w:color="auto" w:sz="4" w:space="0"/>
              <w:bottom w:val="single" w:color="000000" w:sz="4" w:space="0"/>
              <w:right w:val="single" w:color="000000" w:sz="4" w:space="0"/>
            </w:tcBorders>
            <w:vAlign w:val="center"/>
          </w:tcPr>
          <w:p>
            <w:pPr>
              <w:pStyle w:val="38"/>
            </w:pPr>
          </w:p>
        </w:tc>
        <w:tc>
          <w:tcPr>
            <w:tcW w:w="1312"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1749"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1601" w:type="dxa"/>
            <w:tcBorders>
              <w:top w:val="single" w:color="000000" w:sz="4" w:space="0"/>
              <w:left w:val="single" w:color="000000" w:sz="4" w:space="0"/>
              <w:bottom w:val="single" w:color="000000" w:sz="4" w:space="0"/>
              <w:right w:val="single" w:color="000000" w:sz="4" w:space="0"/>
            </w:tcBorders>
            <w:vAlign w:val="center"/>
          </w:tcPr>
          <w:p>
            <w:pPr>
              <w:pStyle w:val="38"/>
              <w:rPr>
                <w:rFonts w:hint="eastAsia" w:eastAsia="宋体"/>
                <w:lang w:eastAsia="zh-CN"/>
              </w:rPr>
            </w:pPr>
            <w:r>
              <w:rPr>
                <w:rFonts w:hint="eastAsia"/>
                <w:lang w:val="en-US" w:eastAsia="zh-CN"/>
              </w:rPr>
              <w:t xml:space="preserve"> </w:t>
            </w:r>
          </w:p>
        </w:tc>
        <w:tc>
          <w:tcPr>
            <w:tcW w:w="1812" w:type="dxa"/>
            <w:tcBorders>
              <w:top w:val="single" w:color="000000" w:sz="4" w:space="0"/>
              <w:left w:val="single" w:color="000000" w:sz="4" w:space="0"/>
              <w:bottom w:val="single" w:color="000000" w:sz="4" w:space="0"/>
              <w:right w:val="single" w:color="000000" w:sz="4" w:space="0"/>
            </w:tcBorders>
            <w:vAlign w:val="center"/>
          </w:tcPr>
          <w:p>
            <w:pPr>
              <w:pStyle w:val="38"/>
            </w:pPr>
          </w:p>
        </w:tc>
        <w:tc>
          <w:tcPr>
            <w:tcW w:w="2013" w:type="dxa"/>
            <w:tcBorders>
              <w:top w:val="single" w:color="000000" w:sz="4" w:space="0"/>
              <w:left w:val="single" w:color="000000" w:sz="4" w:space="0"/>
              <w:bottom w:val="single" w:color="000000" w:sz="4" w:space="0"/>
              <w:right w:val="single" w:color="000000" w:sz="4" w:space="0"/>
            </w:tcBorders>
            <w:vAlign w:val="center"/>
          </w:tcPr>
          <w:p>
            <w:pPr>
              <w:pStyle w:val="38"/>
              <w:rPr>
                <w:rFonts w:hint="eastAsia" w:eastAsia="宋体"/>
                <w:lang w:val="en-US" w:eastAsia="zh-CN"/>
              </w:rPr>
            </w:pPr>
            <w:r>
              <w:rPr>
                <w:rFonts w:hint="eastAsia"/>
                <w:lang w:val="en-US" w:eastAsia="zh-CN"/>
              </w:rPr>
              <w:t xml:space="preserve"> </w:t>
            </w:r>
          </w:p>
        </w:tc>
        <w:tc>
          <w:tcPr>
            <w:tcW w:w="849" w:type="dxa"/>
            <w:tcBorders>
              <w:top w:val="single" w:color="000000" w:sz="4" w:space="0"/>
              <w:left w:val="single" w:color="000000" w:sz="4" w:space="0"/>
              <w:bottom w:val="single" w:color="000000" w:sz="4" w:space="0"/>
            </w:tcBorders>
            <w:vAlign w:val="center"/>
          </w:tcPr>
          <w:p>
            <w:pPr>
              <w:pStyle w:val="38"/>
              <w:rPr>
                <w:rFonts w:hint="default"/>
                <w:lang w:val="en-US"/>
              </w:rPr>
            </w:pPr>
          </w:p>
        </w:tc>
      </w:tr>
    </w:tbl>
    <w:p>
      <w:pPr>
        <w:pStyle w:val="14"/>
        <w:spacing w:before="11"/>
        <w:ind w:firstLine="120"/>
        <w:rPr>
          <w:rFonts w:ascii="微软雅黑"/>
          <w:sz w:val="6"/>
        </w:rPr>
      </w:pPr>
    </w:p>
    <w:p>
      <w:pPr>
        <w:ind w:firstLine="480"/>
        <w:rPr>
          <w:sz w:val="21"/>
        </w:rPr>
      </w:pPr>
      <w:bookmarkStart w:id="48" w:name="_Toc22048"/>
      <w:r>
        <w:t>注：⑥=①+③+④-⑤；⑦=⑥-①</w:t>
      </w:r>
      <w:bookmarkEnd w:id="48"/>
    </w:p>
    <w:sectPr>
      <w:footerReference r:id="rId18" w:type="default"/>
      <w:footerReference r:id="rId19" w:type="even"/>
      <w:pgSz w:w="16840" w:h="11910" w:orient="landscape"/>
      <w:pgMar w:top="1300" w:right="1580" w:bottom="1300" w:left="1000" w:header="0" w:footer="8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ngsana New">
    <w:panose1 w:val="02020603050405020304"/>
    <w:charset w:val="00"/>
    <w:family w:val="roman"/>
    <w:pitch w:val="default"/>
    <w:sig w:usb0="81000003" w:usb1="00000000" w:usb2="00000000" w:usb3="00000000" w:csb0="00010001"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0"/>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ind w:firstLine="36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IdOizCAQAAjwMAAA4AAAAAAAAAAQAgAAAAHgEAAGRycy9lMm9Eb2MueG1sUEsF&#10;BgAAAAAGAAYAWQEAAFIFAAAAAA==&#10;">
              <v:fill on="f" focussize="0,0"/>
              <v:stroke on="f"/>
              <v:imagedata o:title=""/>
              <o:lock v:ext="edit" aspectratio="f"/>
              <v:textbox inset="0mm,0mm,0mm,0mm" style="mso-fit-shape-to-text:t;">
                <w:txbxContent>
                  <w:p>
                    <w:pPr>
                      <w:pStyle w:val="20"/>
                      <w:ind w:firstLine="36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0"/>
        <w:lang w:val="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ind w:firstLine="360"/>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wrap="none" lIns="0" tIns="0" rIns="0" bIns="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T4o3cIBAACP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bihxHGLE798/3b58evy8ytZ&#10;LbNAfYAa8x4DZqbh3g+YPPsBnZn3oKLNX2REMI7ynq/yyiERkR+tV+t1hSGBsfmC+OzpeYiQ3kpv&#10;STYaGnF+RVZ+eg9pTJ1TcjXnH7QxZYbG/eVAzOxhufexx2ylYT9MhPa+PSOfHkffUIebTol551DZ&#10;vCWzEWdjPxm5BoS7Y8LCpZ+MOkJNxXBOhdG0U3kR/ryXrK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E0+KN3CAQAAjwMAAA4AAAAAAAAAAQAgAAAAHgEAAGRycy9lMm9Eb2MueG1sUEsF&#10;BgAAAAAGAAYAWQEAAFIFAAAAAA==&#10;">
              <v:fill on="f" focussize="0,0"/>
              <v:stroke on="f"/>
              <v:imagedata o:title=""/>
              <o:lock v:ext="edit" aspectratio="f"/>
              <v:textbox inset="0mm,0mm,0mm,0mm" style="mso-fit-shape-to-text:t;">
                <w:txbxContent>
                  <w:p>
                    <w:pPr>
                      <w:pStyle w:val="20"/>
                      <w:ind w:firstLine="360"/>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0"/>
        <w:lang w:val="en-US"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ind w:firstLine="360"/>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wrap="none" lIns="0" tIns="0" rIns="0" bIns="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NEDQ0MEBAACPAwAADgAAAAAAAAABACAAAAAeAQAAZHJzL2Uyb0RvYy54bWxQSwUG&#10;AAAAAAYABgBZAQAAUQUAAAAA&#10;">
              <v:fill on="f" focussize="0,0"/>
              <v:stroke on="f"/>
              <v:imagedata o:title=""/>
              <o:lock v:ext="edit" aspectratio="f"/>
              <v:textbox inset="0mm,0mm,0mm,0mm" style="mso-fit-shape-to-text:t;">
                <w:txbxContent>
                  <w:p>
                    <w:pPr>
                      <w:pStyle w:val="20"/>
                      <w:ind w:firstLine="360"/>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ind w:firstLine="600"/>
      <w:rPr>
        <w:sz w:val="20"/>
      </w:rPr>
    </w:pPr>
    <w:r>
      <w:rPr>
        <w:sz w:val="30"/>
        <w:lang w:val="en-US"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ind w:firstLine="360"/>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wps:txbx>
                    <wps:bodyPr wrap="none" lIns="0" tIns="0" rIns="0" bIns="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UFytM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k4d8ctTvz888f51+P54TtZ&#10;vskC9QFqzLsLmJmG937A5NkP6My8BxVt/iIjgnGU93SRVw6JiPxotVytKgwJjM0XxGdPz0OE9EF6&#10;S7LR0IjzK7Ly4ydIY+qckqs5f6uNKTM07i8HYmYPy72PPWYrDbthIrTz7Qn59Dj6hjrcdErMR4fK&#10;5i2ZjTgbu8nINSC8OyQsXPrJqCPUVAznVBhNO5UX4c97yXr6j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BQXK0wwEAAI8DAAAOAAAAAAAAAAEAIAAAAB4BAABkcnMvZTJvRG9jLnhtbFBL&#10;BQYAAAAABgAGAFkBAABTBQAAAAA=&#10;">
              <v:fill on="f" focussize="0,0"/>
              <v:stroke on="f"/>
              <v:imagedata o:title=""/>
              <o:lock v:ext="edit" aspectratio="f"/>
              <v:textbox inset="0mm,0mm,0mm,0mm" style="mso-fit-shape-to-text:t;">
                <w:txbxContent>
                  <w:p>
                    <w:pPr>
                      <w:pStyle w:val="20"/>
                      <w:ind w:firstLine="360"/>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ind w:firstLine="600"/>
      <w:rPr>
        <w:sz w:val="20"/>
      </w:rPr>
    </w:pPr>
    <w:r>
      <w:rPr>
        <w:sz w:val="30"/>
        <w:lang w:val="en-US"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ind w:firstLine="360"/>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wps:txbx>
                    <wps:bodyPr wrap="none" lIns="0" tIns="0" rIns="0" bIns="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6QXsMBAACP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WEsctTvz888f515/z7+9k&#10;+ToL1AeoMe82YGYa3vsBk2c/oDPzHlS0+YuMCMZR3tNFXjkkIvKj1XK1qjAkMDZfEJ/dPw8R0gfp&#10;LclGQyPOr8jKj58gjalzSq7m/I02pszQuP8ciJk9LPc+9pitNOyGidDOtyfk0+PoG+pw0ykxHx0q&#10;m7dkNuJs7CYj14Dw7pCwcOkno45QUzGcU2E07VRehH/vJev+P9r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8npBewwEAAI8DAAAOAAAAAAAAAAEAIAAAAB4BAABkcnMvZTJvRG9jLnhtbFBL&#10;BQYAAAAABgAGAFkBAABTBQAAAAA=&#10;">
              <v:fill on="f" focussize="0,0"/>
              <v:stroke on="f"/>
              <v:imagedata o:title=""/>
              <o:lock v:ext="edit" aspectratio="f"/>
              <v:textbox inset="0mm,0mm,0mm,0mm" style="mso-fit-shape-to-text:t;">
                <w:txbxContent>
                  <w:p>
                    <w:pPr>
                      <w:pStyle w:val="20"/>
                      <w:ind w:firstLine="360"/>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v:textbox>
            </v:shape>
          </w:pict>
        </mc:Fallback>
      </mc:AlternateContent>
    </w:r>
    <w:r>
      <w:rPr>
        <w:lang w:val="en-US" w:bidi="ar-SA"/>
      </w:rPr>
      <mc:AlternateContent>
        <mc:Choice Requires="wps">
          <w:drawing>
            <wp:anchor distT="0" distB="0" distL="114300" distR="114300" simplePos="0" relativeHeight="251661312" behindDoc="1" locked="0" layoutInCell="1" allowOverlap="1">
              <wp:simplePos x="0" y="0"/>
              <wp:positionH relativeFrom="page">
                <wp:posOffset>959485</wp:posOffset>
              </wp:positionH>
              <wp:positionV relativeFrom="page">
                <wp:posOffset>6901815</wp:posOffset>
              </wp:positionV>
              <wp:extent cx="801370" cy="203835"/>
              <wp:effectExtent l="0" t="0" r="0" b="0"/>
              <wp:wrapNone/>
              <wp:docPr id="9" name="文本框 6"/>
              <wp:cNvGraphicFramePr/>
              <a:graphic xmlns:a="http://schemas.openxmlformats.org/drawingml/2006/main">
                <a:graphicData uri="http://schemas.microsoft.com/office/word/2010/wordprocessingShape">
                  <wps:wsp>
                    <wps:cNvSpPr txBox="1"/>
                    <wps:spPr>
                      <a:xfrm>
                        <a:off x="0" y="0"/>
                        <a:ext cx="801370" cy="203835"/>
                      </a:xfrm>
                      <a:prstGeom prst="rect">
                        <a:avLst/>
                      </a:prstGeom>
                      <a:noFill/>
                      <a:ln>
                        <a:noFill/>
                      </a:ln>
                    </wps:spPr>
                    <wps:txbx>
                      <w:txbxContent>
                        <w:p>
                          <w:pPr>
                            <w:spacing w:line="321" w:lineRule="exact"/>
                            <w:ind w:left="20" w:firstLine="560"/>
                            <w:rPr>
                              <w:sz w:val="28"/>
                            </w:rPr>
                          </w:pPr>
                          <w:r>
                            <w:rPr>
                              <w:sz w:val="28"/>
                            </w:rPr>
                            <w:t xml:space="preserve">— </w:t>
                          </w:r>
                          <w:r>
                            <w:rPr>
                              <w:sz w:val="26"/>
                            </w:rPr>
                            <w:t xml:space="preserve">12 </w:t>
                          </w:r>
                          <w:r>
                            <w:rPr>
                              <w:sz w:val="28"/>
                            </w:rPr>
                            <w:t>—</w:t>
                          </w:r>
                        </w:p>
                      </w:txbxContent>
                    </wps:txbx>
                    <wps:bodyPr lIns="0" tIns="0" rIns="0" bIns="0" upright="1"/>
                  </wps:wsp>
                </a:graphicData>
              </a:graphic>
            </wp:anchor>
          </w:drawing>
        </mc:Choice>
        <mc:Fallback>
          <w:pict>
            <v:shape id="文本框 6" o:spid="_x0000_s1026" o:spt="202" type="#_x0000_t202" style="position:absolute;left:0pt;margin-left:75.55pt;margin-top:543.45pt;height:16.05pt;width:63.1pt;mso-position-horizontal-relative:page;mso-position-vertical-relative:page;z-index:-251655168;mso-width-relative:page;mso-height-relative:page;" filled="f" stroked="f" coordsize="21600,21600" o:gfxdata="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XX4/S2gAAAA0BAAAPAAAAAAAAAAEAIAAAACIAAABkcnMvZG93bnJldi54bWxQSwEC&#10;FAAUAAAACACHTuJAnABtYrkBAABxAwAADgAAAAAAAAABACAAAAApAQAAZHJzL2Uyb0RvYy54bWxQ&#10;SwUGAAAAAAYABgBZAQAAVAUAAAAA&#10;">
              <v:fill on="f" focussize="0,0"/>
              <v:stroke on="f"/>
              <v:imagedata o:title=""/>
              <o:lock v:ext="edit" aspectratio="f"/>
              <v:textbox inset="0mm,0mm,0mm,0mm">
                <w:txbxContent>
                  <w:p>
                    <w:pPr>
                      <w:spacing w:line="321" w:lineRule="exact"/>
                      <w:ind w:left="20" w:firstLine="560"/>
                      <w:rPr>
                        <w:sz w:val="28"/>
                      </w:rPr>
                    </w:pPr>
                    <w:r>
                      <w:rPr>
                        <w:sz w:val="28"/>
                      </w:rPr>
                      <w:t xml:space="preserve">— </w:t>
                    </w:r>
                    <w:r>
                      <w:rPr>
                        <w:sz w:val="26"/>
                      </w:rPr>
                      <w:t xml:space="preserve">12 </w:t>
                    </w:r>
                    <w:r>
                      <w:rPr>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153"/>
        <w:tab w:val="right" w:pos="8306"/>
      </w:tabs>
      <w:ind w:firstLine="360"/>
    </w:pPr>
    <w:r>
      <w:rPr>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694055" cy="255905"/>
              <wp:effectExtent l="0" t="0" r="0" b="0"/>
              <wp:wrapNone/>
              <wp:docPr id="12" name="文本框 16"/>
              <wp:cNvGraphicFramePr/>
              <a:graphic xmlns:a="http://schemas.openxmlformats.org/drawingml/2006/main">
                <a:graphicData uri="http://schemas.microsoft.com/office/word/2010/wordprocessingShape">
                  <wps:wsp>
                    <wps:cNvSpPr txBox="1"/>
                    <wps:spPr>
                      <a:xfrm>
                        <a:off x="0" y="0"/>
                        <a:ext cx="694055" cy="255905"/>
                      </a:xfrm>
                      <a:prstGeom prst="rect">
                        <a:avLst/>
                      </a:prstGeom>
                      <a:noFill/>
                      <a:ln>
                        <a:noFill/>
                      </a:ln>
                    </wps:spPr>
                    <wps:txbx>
                      <w:txbxContent>
                        <w:p>
                          <w:pPr>
                            <w:ind w:firstLine="480"/>
                          </w:pPr>
                        </w:p>
                      </w:txbxContent>
                    </wps:txbx>
                    <wps:bodyPr lIns="0" tIns="0" rIns="0" bIns="0"/>
                  </wps:wsp>
                </a:graphicData>
              </a:graphic>
            </wp:anchor>
          </w:drawing>
        </mc:Choice>
        <mc:Fallback>
          <w:pict>
            <v:shape id="文本框 16" o:spid="_x0000_s1026" o:spt="202" type="#_x0000_t202" style="position:absolute;left:0pt;margin-top:0pt;height:20.15pt;width:54.65pt;mso-position-horizontal:center;mso-position-horizontal-relative:margin;z-index:251662336;mso-width-relative:page;mso-height-relative:page;" filled="f" stroked="f" coordsize="21600,21600" o:gfxdata="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Gy&#10;V1jUAAAABAEAAA8AAAAAAAAAAQAgAAAAIgAAAGRycy9kb3ducmV2LnhtbFBLAQIUABQAAAAIAIdO&#10;4kB3oLkxtQEAAGcDAAAOAAAAAAAAAAEAIAAAACMBAABkcnMvZTJvRG9jLnhtbFBLBQYAAAAABgAG&#10;AFkBAABKBQAAAAA=&#10;">
              <v:fill on="f" focussize="0,0"/>
              <v:stroke on="f"/>
              <v:imagedata o:title=""/>
              <o:lock v:ext="edit" aspectratio="f"/>
              <v:textbox inset="0mm,0mm,0mm,0mm">
                <w:txbxContent>
                  <w:p>
                    <w:pPr>
                      <w:ind w:firstLine="48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0"/>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r1N78IBAACP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JeUOG5x4pfv3y4/fl1+fiXL&#10;11mgPkCNeXcBM9Pw1g+YPPsBnZn3oKLNX2REMI7ynq/yyiERkR+tV+t1hSGBsfmC+OzheYiQ3klv&#10;STYaGnF+RVZ++gBpTJ1TcjXnb7UxZYbG/eVAzOxhufexx2ylYT9MhPa+PSOfHkffUIebTol571DZ&#10;vCWzEWdjPxm5BoQ3x4SFSz8ZdYSaiuGcCqNpp/Ii/HkvWQ//0f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a9Te/CAQAAjwMAAA4AAAAAAAAAAQAgAAAAHgEAAGRycy9lMm9Eb2MueG1sUEsF&#10;BgAAAAAGAAYAWQEAAFIFAAAAAA==&#10;">
              <v:fill on="f" focussize="0,0"/>
              <v:stroke on="f"/>
              <v:imagedata o:title=""/>
              <o:lock v:ext="edit" aspectratio="f"/>
              <v:textbox inset="0mm,0mm,0mm,0mm" style="mso-fit-shape-to-text:t;">
                <w:txbxContent>
                  <w:p>
                    <w:pPr>
                      <w:pStyle w:val="20"/>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153"/>
        <w:tab w:val="right" w:pos="8306"/>
      </w:tabs>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153"/>
        <w:tab w:val="right" w:pos="8306"/>
      </w:tabs>
      <w:ind w:firstLine="360"/>
    </w:pPr>
    <w:r>
      <w:rPr>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625475" cy="283845"/>
              <wp:effectExtent l="0" t="0" r="0" b="0"/>
              <wp:wrapNone/>
              <wp:docPr id="14" name="文本框 19"/>
              <wp:cNvGraphicFramePr/>
              <a:graphic xmlns:a="http://schemas.openxmlformats.org/drawingml/2006/main">
                <a:graphicData uri="http://schemas.microsoft.com/office/word/2010/wordprocessingShape">
                  <wps:wsp>
                    <wps:cNvSpPr txBox="1"/>
                    <wps:spPr>
                      <a:xfrm>
                        <a:off x="0" y="0"/>
                        <a:ext cx="625475" cy="283845"/>
                      </a:xfrm>
                      <a:prstGeom prst="rect">
                        <a:avLst/>
                      </a:prstGeom>
                      <a:noFill/>
                      <a:ln>
                        <a:noFill/>
                      </a:ln>
                    </wps:spPr>
                    <wps:txbx>
                      <w:txbxContent>
                        <w:p>
                          <w:pPr>
                            <w:pStyle w:val="20"/>
                            <w:ind w:firstLine="36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lIns="0" tIns="0" rIns="0" bIns="0"/>
                  </wps:wsp>
                </a:graphicData>
              </a:graphic>
            </wp:anchor>
          </w:drawing>
        </mc:Choice>
        <mc:Fallback>
          <w:pict>
            <v:shape id="文本框 19" o:spid="_x0000_s1026" o:spt="202" type="#_x0000_t202" style="position:absolute;left:0pt;margin-top:0pt;height:22.35pt;width:49.25pt;mso-position-horizontal:center;mso-position-horizontal-relative:margin;z-index:251664384;mso-width-relative:page;mso-height-relative:page;" filled="f" stroked="f" coordsize="21600,21600" o:gfxdata="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R&#10;z4Hv1AAAAAMBAAAPAAAAAAAAAAEAIAAAACIAAABkcnMvZG93bnJldi54bWxQSwECFAAUAAAACACH&#10;TuJADnl7MbYBAABnAwAADgAAAAAAAAABACAAAAAjAQAAZHJzL2Uyb0RvYy54bWxQSwUGAAAAAAYA&#10;BgBZAQAASwUAAAAA&#10;">
              <v:fill on="f" focussize="0,0"/>
              <v:stroke on="f"/>
              <v:imagedata o:title=""/>
              <o:lock v:ext="edit" aspectratio="f"/>
              <v:textbox inset="0mm,0mm,0mm,0mm">
                <w:txbxContent>
                  <w:p>
                    <w:pPr>
                      <w:pStyle w:val="20"/>
                      <w:ind w:firstLine="36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73035"/>
    <w:multiLevelType w:val="singleLevel"/>
    <w:tmpl w:val="87273035"/>
    <w:lvl w:ilvl="0" w:tentative="0">
      <w:start w:val="1"/>
      <w:numFmt w:val="decimal"/>
      <w:suff w:val="nothing"/>
      <w:lvlText w:val="%1、"/>
      <w:lvlJc w:val="left"/>
    </w:lvl>
  </w:abstractNum>
  <w:abstractNum w:abstractNumId="1">
    <w:nsid w:val="97C8F6AA"/>
    <w:multiLevelType w:val="singleLevel"/>
    <w:tmpl w:val="97C8F6AA"/>
    <w:lvl w:ilvl="0" w:tentative="0">
      <w:start w:val="6"/>
      <w:numFmt w:val="decimal"/>
      <w:suff w:val="nothing"/>
      <w:lvlText w:val="（%1）"/>
      <w:lvlJc w:val="left"/>
      <w:pPr>
        <w:ind w:left="80"/>
      </w:pPr>
    </w:lvl>
  </w:abstractNum>
  <w:abstractNum w:abstractNumId="2">
    <w:nsid w:val="C951EA0C"/>
    <w:multiLevelType w:val="singleLevel"/>
    <w:tmpl w:val="C951EA0C"/>
    <w:lvl w:ilvl="0" w:tentative="0">
      <w:start w:val="1"/>
      <w:numFmt w:val="decimal"/>
      <w:suff w:val="nothing"/>
      <w:lvlText w:val="（%1）"/>
      <w:lvlJc w:val="left"/>
    </w:lvl>
  </w:abstractNum>
  <w:abstractNum w:abstractNumId="3">
    <w:nsid w:val="E7E77CF1"/>
    <w:multiLevelType w:val="singleLevel"/>
    <w:tmpl w:val="E7E77CF1"/>
    <w:lvl w:ilvl="0" w:tentative="0">
      <w:start w:val="1"/>
      <w:numFmt w:val="decimal"/>
      <w:suff w:val="nothing"/>
      <w:lvlText w:val="（%1）"/>
      <w:lvlJc w:val="left"/>
      <w:pPr>
        <w:ind w:left="80"/>
      </w:pPr>
    </w:lvl>
  </w:abstractNum>
  <w:abstractNum w:abstractNumId="4">
    <w:nsid w:val="06A599D8"/>
    <w:multiLevelType w:val="singleLevel"/>
    <w:tmpl w:val="06A599D8"/>
    <w:lvl w:ilvl="0" w:tentative="0">
      <w:start w:val="6"/>
      <w:numFmt w:val="chineseCounting"/>
      <w:suff w:val="nothing"/>
      <w:lvlText w:val="%1、"/>
      <w:lvlJc w:val="left"/>
      <w:rPr>
        <w:rFonts w:hint="eastAsia"/>
      </w:rPr>
    </w:lvl>
  </w:abstractNum>
  <w:abstractNum w:abstractNumId="5">
    <w:nsid w:val="218E6831"/>
    <w:multiLevelType w:val="singleLevel"/>
    <w:tmpl w:val="218E6831"/>
    <w:lvl w:ilvl="0" w:tentative="0">
      <w:start w:val="1"/>
      <w:numFmt w:val="decimal"/>
      <w:suff w:val="nothing"/>
      <w:lvlText w:val="（%1）"/>
      <w:lvlJc w:val="left"/>
    </w:lvl>
  </w:abstractNum>
  <w:abstractNum w:abstractNumId="6">
    <w:nsid w:val="22DE3270"/>
    <w:multiLevelType w:val="singleLevel"/>
    <w:tmpl w:val="22DE3270"/>
    <w:lvl w:ilvl="0" w:tentative="0">
      <w:start w:val="1"/>
      <w:numFmt w:val="decimal"/>
      <w:suff w:val="nothing"/>
      <w:lvlText w:val="（%1）"/>
      <w:lvlJc w:val="left"/>
    </w:lvl>
  </w:abstractNum>
  <w:num w:numId="1">
    <w:abstractNumId w:val="0"/>
  </w:num>
  <w:num w:numId="2">
    <w:abstractNumId w:val="6"/>
    <w:lvlOverride w:ilvl="0">
      <w:startOverride w:val="1"/>
    </w:lvlOverride>
  </w:num>
  <w:num w:numId="3">
    <w:abstractNumId w:val="1"/>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720"/>
  <w:evenAndOddHeaders w:val="1"/>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80F"/>
    <w:rsid w:val="000E16AA"/>
    <w:rsid w:val="00125E10"/>
    <w:rsid w:val="00413B9F"/>
    <w:rsid w:val="004717A2"/>
    <w:rsid w:val="0083580F"/>
    <w:rsid w:val="008F7179"/>
    <w:rsid w:val="009301F6"/>
    <w:rsid w:val="00B57117"/>
    <w:rsid w:val="00DA57BB"/>
    <w:rsid w:val="00E158D0"/>
    <w:rsid w:val="00EA5304"/>
    <w:rsid w:val="01055DC9"/>
    <w:rsid w:val="01371041"/>
    <w:rsid w:val="01727F9F"/>
    <w:rsid w:val="01B666C0"/>
    <w:rsid w:val="01C62694"/>
    <w:rsid w:val="0222275A"/>
    <w:rsid w:val="02361DF0"/>
    <w:rsid w:val="024C32B8"/>
    <w:rsid w:val="02555D81"/>
    <w:rsid w:val="027D0F8C"/>
    <w:rsid w:val="028A6A32"/>
    <w:rsid w:val="02E82310"/>
    <w:rsid w:val="03363163"/>
    <w:rsid w:val="03653FFA"/>
    <w:rsid w:val="038038F9"/>
    <w:rsid w:val="03964611"/>
    <w:rsid w:val="039B4446"/>
    <w:rsid w:val="03A6217B"/>
    <w:rsid w:val="03E52ED2"/>
    <w:rsid w:val="03EA43FF"/>
    <w:rsid w:val="03FE4952"/>
    <w:rsid w:val="04074FB1"/>
    <w:rsid w:val="04363802"/>
    <w:rsid w:val="0480018E"/>
    <w:rsid w:val="048B3E34"/>
    <w:rsid w:val="04A258FF"/>
    <w:rsid w:val="04AF50A8"/>
    <w:rsid w:val="04FA7D71"/>
    <w:rsid w:val="04FC16D8"/>
    <w:rsid w:val="050551B2"/>
    <w:rsid w:val="05224479"/>
    <w:rsid w:val="05394B90"/>
    <w:rsid w:val="0547261E"/>
    <w:rsid w:val="05A0321D"/>
    <w:rsid w:val="05D054E1"/>
    <w:rsid w:val="05DC71AF"/>
    <w:rsid w:val="05EB2577"/>
    <w:rsid w:val="05EE23DA"/>
    <w:rsid w:val="062822F8"/>
    <w:rsid w:val="065C19DA"/>
    <w:rsid w:val="066900F3"/>
    <w:rsid w:val="06810DBC"/>
    <w:rsid w:val="06CE1233"/>
    <w:rsid w:val="06F53C79"/>
    <w:rsid w:val="06F82344"/>
    <w:rsid w:val="07027CB2"/>
    <w:rsid w:val="07057767"/>
    <w:rsid w:val="074D717F"/>
    <w:rsid w:val="078968D9"/>
    <w:rsid w:val="07DA1606"/>
    <w:rsid w:val="07E27602"/>
    <w:rsid w:val="07F6534B"/>
    <w:rsid w:val="080825B8"/>
    <w:rsid w:val="08210AF9"/>
    <w:rsid w:val="08337519"/>
    <w:rsid w:val="08B22C72"/>
    <w:rsid w:val="08EB787E"/>
    <w:rsid w:val="094E6752"/>
    <w:rsid w:val="0959652F"/>
    <w:rsid w:val="0999358C"/>
    <w:rsid w:val="09BB2B01"/>
    <w:rsid w:val="09F2400E"/>
    <w:rsid w:val="09F33BCE"/>
    <w:rsid w:val="0A444DDA"/>
    <w:rsid w:val="0A672F82"/>
    <w:rsid w:val="0A7F5753"/>
    <w:rsid w:val="0A8F5342"/>
    <w:rsid w:val="0A93759F"/>
    <w:rsid w:val="0A9A1B2A"/>
    <w:rsid w:val="0AAF7E0F"/>
    <w:rsid w:val="0AB00DB2"/>
    <w:rsid w:val="0AB13BA4"/>
    <w:rsid w:val="0AB60E6B"/>
    <w:rsid w:val="0ACE0170"/>
    <w:rsid w:val="0ADD6AE3"/>
    <w:rsid w:val="0B6E4CFE"/>
    <w:rsid w:val="0B6F6D66"/>
    <w:rsid w:val="0B770C6E"/>
    <w:rsid w:val="0C2227AE"/>
    <w:rsid w:val="0C277058"/>
    <w:rsid w:val="0C2B1794"/>
    <w:rsid w:val="0C443B11"/>
    <w:rsid w:val="0C6E002F"/>
    <w:rsid w:val="0C7A0AA4"/>
    <w:rsid w:val="0C9059DD"/>
    <w:rsid w:val="0CF6014C"/>
    <w:rsid w:val="0CF84031"/>
    <w:rsid w:val="0D23347E"/>
    <w:rsid w:val="0D985869"/>
    <w:rsid w:val="0DBC1C36"/>
    <w:rsid w:val="0DBF3B4C"/>
    <w:rsid w:val="0E08148D"/>
    <w:rsid w:val="0E64373E"/>
    <w:rsid w:val="0F0905AF"/>
    <w:rsid w:val="0F1C3AFD"/>
    <w:rsid w:val="0F1C79F0"/>
    <w:rsid w:val="0F601030"/>
    <w:rsid w:val="0F7D53DE"/>
    <w:rsid w:val="0F817E01"/>
    <w:rsid w:val="0F9A2514"/>
    <w:rsid w:val="0FA17017"/>
    <w:rsid w:val="0FAF07AF"/>
    <w:rsid w:val="0FD205F5"/>
    <w:rsid w:val="0FF46D31"/>
    <w:rsid w:val="1000075E"/>
    <w:rsid w:val="10951E9B"/>
    <w:rsid w:val="10A11CB3"/>
    <w:rsid w:val="10E24DDC"/>
    <w:rsid w:val="10E4134D"/>
    <w:rsid w:val="10F5508B"/>
    <w:rsid w:val="10FA4723"/>
    <w:rsid w:val="110C01F5"/>
    <w:rsid w:val="1156563A"/>
    <w:rsid w:val="11845E93"/>
    <w:rsid w:val="118F58F9"/>
    <w:rsid w:val="119072B1"/>
    <w:rsid w:val="11AA4413"/>
    <w:rsid w:val="11B827E1"/>
    <w:rsid w:val="11BA7B07"/>
    <w:rsid w:val="11C90F0B"/>
    <w:rsid w:val="11D324A2"/>
    <w:rsid w:val="11D70E59"/>
    <w:rsid w:val="11F748B7"/>
    <w:rsid w:val="11FE21B2"/>
    <w:rsid w:val="12266112"/>
    <w:rsid w:val="12367D96"/>
    <w:rsid w:val="12386D69"/>
    <w:rsid w:val="125A4398"/>
    <w:rsid w:val="12C15C52"/>
    <w:rsid w:val="12C36BBF"/>
    <w:rsid w:val="12C81DBC"/>
    <w:rsid w:val="12D76646"/>
    <w:rsid w:val="130E320B"/>
    <w:rsid w:val="13A9075D"/>
    <w:rsid w:val="13B5188E"/>
    <w:rsid w:val="14072C1C"/>
    <w:rsid w:val="140B3069"/>
    <w:rsid w:val="147A6BB3"/>
    <w:rsid w:val="147E2844"/>
    <w:rsid w:val="149C3764"/>
    <w:rsid w:val="14AC1553"/>
    <w:rsid w:val="14AD52C3"/>
    <w:rsid w:val="14B3361B"/>
    <w:rsid w:val="14B53D67"/>
    <w:rsid w:val="1518015B"/>
    <w:rsid w:val="15376006"/>
    <w:rsid w:val="156B3F57"/>
    <w:rsid w:val="157A5BA5"/>
    <w:rsid w:val="15DF6F8E"/>
    <w:rsid w:val="15EF21C1"/>
    <w:rsid w:val="15F86454"/>
    <w:rsid w:val="16060130"/>
    <w:rsid w:val="16504323"/>
    <w:rsid w:val="16873588"/>
    <w:rsid w:val="16971DC6"/>
    <w:rsid w:val="16BB43B2"/>
    <w:rsid w:val="16BD69E2"/>
    <w:rsid w:val="175947D7"/>
    <w:rsid w:val="17684112"/>
    <w:rsid w:val="17771A06"/>
    <w:rsid w:val="177B20A9"/>
    <w:rsid w:val="182604FB"/>
    <w:rsid w:val="185B63A9"/>
    <w:rsid w:val="186A21BD"/>
    <w:rsid w:val="186A2CE4"/>
    <w:rsid w:val="1871105F"/>
    <w:rsid w:val="18724F28"/>
    <w:rsid w:val="18771103"/>
    <w:rsid w:val="18A9758F"/>
    <w:rsid w:val="18E86A24"/>
    <w:rsid w:val="193E7F56"/>
    <w:rsid w:val="19637324"/>
    <w:rsid w:val="196C5B2A"/>
    <w:rsid w:val="19A51EEB"/>
    <w:rsid w:val="19D44DAE"/>
    <w:rsid w:val="1A5E6D34"/>
    <w:rsid w:val="1A6F2571"/>
    <w:rsid w:val="1A7D6C7B"/>
    <w:rsid w:val="1AA10224"/>
    <w:rsid w:val="1AB10FBD"/>
    <w:rsid w:val="1B053BB2"/>
    <w:rsid w:val="1B3B004E"/>
    <w:rsid w:val="1B5628AA"/>
    <w:rsid w:val="1B677D0E"/>
    <w:rsid w:val="1B6F78B3"/>
    <w:rsid w:val="1BDF1551"/>
    <w:rsid w:val="1C6A4D97"/>
    <w:rsid w:val="1C7E1849"/>
    <w:rsid w:val="1C933749"/>
    <w:rsid w:val="1C943A04"/>
    <w:rsid w:val="1CAE7C06"/>
    <w:rsid w:val="1CD02762"/>
    <w:rsid w:val="1CE04F74"/>
    <w:rsid w:val="1CF462BB"/>
    <w:rsid w:val="1D014845"/>
    <w:rsid w:val="1D367FB5"/>
    <w:rsid w:val="1D553E0F"/>
    <w:rsid w:val="1D566E10"/>
    <w:rsid w:val="1D645145"/>
    <w:rsid w:val="1D8E1A50"/>
    <w:rsid w:val="1D9D3D7D"/>
    <w:rsid w:val="1D9F22DD"/>
    <w:rsid w:val="1DA65E81"/>
    <w:rsid w:val="1DD73E3D"/>
    <w:rsid w:val="1DF70907"/>
    <w:rsid w:val="1E04534F"/>
    <w:rsid w:val="1E9B4E6C"/>
    <w:rsid w:val="1EAE3131"/>
    <w:rsid w:val="1EE61954"/>
    <w:rsid w:val="1F0A69B7"/>
    <w:rsid w:val="1F5F7468"/>
    <w:rsid w:val="1F740FB1"/>
    <w:rsid w:val="1F8D4EFF"/>
    <w:rsid w:val="1FD50B83"/>
    <w:rsid w:val="20075E72"/>
    <w:rsid w:val="20166850"/>
    <w:rsid w:val="20442CB1"/>
    <w:rsid w:val="205E0768"/>
    <w:rsid w:val="20626DA6"/>
    <w:rsid w:val="20DB1490"/>
    <w:rsid w:val="20E41E2A"/>
    <w:rsid w:val="20E62665"/>
    <w:rsid w:val="20F06299"/>
    <w:rsid w:val="20F35F51"/>
    <w:rsid w:val="211D6D6F"/>
    <w:rsid w:val="21372550"/>
    <w:rsid w:val="21B87550"/>
    <w:rsid w:val="21C62597"/>
    <w:rsid w:val="21E5691C"/>
    <w:rsid w:val="21EE54FF"/>
    <w:rsid w:val="2219626D"/>
    <w:rsid w:val="224A06B2"/>
    <w:rsid w:val="224A6BFD"/>
    <w:rsid w:val="22581CFC"/>
    <w:rsid w:val="227815A0"/>
    <w:rsid w:val="22B64336"/>
    <w:rsid w:val="230B0150"/>
    <w:rsid w:val="231437A8"/>
    <w:rsid w:val="231B1A50"/>
    <w:rsid w:val="23863667"/>
    <w:rsid w:val="23B4228A"/>
    <w:rsid w:val="23BB70E9"/>
    <w:rsid w:val="23FA522D"/>
    <w:rsid w:val="244C4F63"/>
    <w:rsid w:val="24956CD2"/>
    <w:rsid w:val="24AE1055"/>
    <w:rsid w:val="24B33D14"/>
    <w:rsid w:val="24C214B8"/>
    <w:rsid w:val="24CB0FBE"/>
    <w:rsid w:val="24D81224"/>
    <w:rsid w:val="24F611AD"/>
    <w:rsid w:val="250550E5"/>
    <w:rsid w:val="251351C2"/>
    <w:rsid w:val="25295848"/>
    <w:rsid w:val="25661C11"/>
    <w:rsid w:val="257E10EA"/>
    <w:rsid w:val="25F52C7C"/>
    <w:rsid w:val="260B4207"/>
    <w:rsid w:val="26422C5C"/>
    <w:rsid w:val="268C3BCB"/>
    <w:rsid w:val="2699668D"/>
    <w:rsid w:val="26E46C88"/>
    <w:rsid w:val="270D275B"/>
    <w:rsid w:val="273764D9"/>
    <w:rsid w:val="278A09DB"/>
    <w:rsid w:val="27A946D7"/>
    <w:rsid w:val="27BD4703"/>
    <w:rsid w:val="27FF626C"/>
    <w:rsid w:val="281B0B33"/>
    <w:rsid w:val="286F11F3"/>
    <w:rsid w:val="287C74F6"/>
    <w:rsid w:val="28B4060E"/>
    <w:rsid w:val="28C606E7"/>
    <w:rsid w:val="28D7264F"/>
    <w:rsid w:val="28ED4E5E"/>
    <w:rsid w:val="291E4D3B"/>
    <w:rsid w:val="29231282"/>
    <w:rsid w:val="292968FA"/>
    <w:rsid w:val="29456804"/>
    <w:rsid w:val="297840D8"/>
    <w:rsid w:val="29A15B4E"/>
    <w:rsid w:val="29F15003"/>
    <w:rsid w:val="2A1335E1"/>
    <w:rsid w:val="2A6B7206"/>
    <w:rsid w:val="2A8D18A5"/>
    <w:rsid w:val="2B947C8E"/>
    <w:rsid w:val="2BA10D8A"/>
    <w:rsid w:val="2BA363BC"/>
    <w:rsid w:val="2BD5014E"/>
    <w:rsid w:val="2BD73510"/>
    <w:rsid w:val="2BE3327A"/>
    <w:rsid w:val="2BF42D2B"/>
    <w:rsid w:val="2C071743"/>
    <w:rsid w:val="2C33519D"/>
    <w:rsid w:val="2C895797"/>
    <w:rsid w:val="2CF5005D"/>
    <w:rsid w:val="2CFB2F1F"/>
    <w:rsid w:val="2D1D18D7"/>
    <w:rsid w:val="2D3B0F92"/>
    <w:rsid w:val="2E083758"/>
    <w:rsid w:val="2E362AD6"/>
    <w:rsid w:val="2E3F4ED7"/>
    <w:rsid w:val="2E466C05"/>
    <w:rsid w:val="2E724303"/>
    <w:rsid w:val="2E9A661E"/>
    <w:rsid w:val="2EA26D81"/>
    <w:rsid w:val="2EF55D64"/>
    <w:rsid w:val="2EF56AC4"/>
    <w:rsid w:val="2F041F69"/>
    <w:rsid w:val="2F16414C"/>
    <w:rsid w:val="2F305BEB"/>
    <w:rsid w:val="2F776E76"/>
    <w:rsid w:val="2F9A6D97"/>
    <w:rsid w:val="2FAE4444"/>
    <w:rsid w:val="2FC33BD3"/>
    <w:rsid w:val="2FD4203C"/>
    <w:rsid w:val="30021578"/>
    <w:rsid w:val="30803A48"/>
    <w:rsid w:val="310E40FA"/>
    <w:rsid w:val="314100AD"/>
    <w:rsid w:val="31730A14"/>
    <w:rsid w:val="318A56FB"/>
    <w:rsid w:val="31A62A99"/>
    <w:rsid w:val="31EB6844"/>
    <w:rsid w:val="32321C0C"/>
    <w:rsid w:val="3256749F"/>
    <w:rsid w:val="329A43D4"/>
    <w:rsid w:val="32AD4B15"/>
    <w:rsid w:val="32BB3364"/>
    <w:rsid w:val="32C53636"/>
    <w:rsid w:val="333F6BD5"/>
    <w:rsid w:val="33645A78"/>
    <w:rsid w:val="3381002D"/>
    <w:rsid w:val="33B26C47"/>
    <w:rsid w:val="33D74F0E"/>
    <w:rsid w:val="33FC3C54"/>
    <w:rsid w:val="341852E3"/>
    <w:rsid w:val="34375D70"/>
    <w:rsid w:val="344C063B"/>
    <w:rsid w:val="34903CCC"/>
    <w:rsid w:val="34AF2730"/>
    <w:rsid w:val="34DE12AF"/>
    <w:rsid w:val="34FB5BBD"/>
    <w:rsid w:val="35222145"/>
    <w:rsid w:val="353A2075"/>
    <w:rsid w:val="357D29F8"/>
    <w:rsid w:val="35EF44A1"/>
    <w:rsid w:val="36023FBB"/>
    <w:rsid w:val="36126C55"/>
    <w:rsid w:val="36270665"/>
    <w:rsid w:val="36321650"/>
    <w:rsid w:val="364F4A20"/>
    <w:rsid w:val="3665224C"/>
    <w:rsid w:val="36702EAF"/>
    <w:rsid w:val="368A5C56"/>
    <w:rsid w:val="36BB4615"/>
    <w:rsid w:val="36CB54C5"/>
    <w:rsid w:val="36EE1AB5"/>
    <w:rsid w:val="37BA1036"/>
    <w:rsid w:val="37C826CB"/>
    <w:rsid w:val="37C8447C"/>
    <w:rsid w:val="3800380C"/>
    <w:rsid w:val="382A60CD"/>
    <w:rsid w:val="38407877"/>
    <w:rsid w:val="38C150D6"/>
    <w:rsid w:val="3916629D"/>
    <w:rsid w:val="391C1540"/>
    <w:rsid w:val="391F17A2"/>
    <w:rsid w:val="39792360"/>
    <w:rsid w:val="397C0CF2"/>
    <w:rsid w:val="39AE740A"/>
    <w:rsid w:val="39C0616C"/>
    <w:rsid w:val="39C40C73"/>
    <w:rsid w:val="39CA3DF7"/>
    <w:rsid w:val="3A265910"/>
    <w:rsid w:val="3A3C20FA"/>
    <w:rsid w:val="3A442024"/>
    <w:rsid w:val="3A5E2F8B"/>
    <w:rsid w:val="3A63468E"/>
    <w:rsid w:val="3A8D477A"/>
    <w:rsid w:val="3AB66732"/>
    <w:rsid w:val="3AC61B62"/>
    <w:rsid w:val="3B0E6D8F"/>
    <w:rsid w:val="3B7F0AC1"/>
    <w:rsid w:val="3BAB308B"/>
    <w:rsid w:val="3BD51D17"/>
    <w:rsid w:val="3C900E17"/>
    <w:rsid w:val="3C901A60"/>
    <w:rsid w:val="3CAA4F25"/>
    <w:rsid w:val="3CBD332D"/>
    <w:rsid w:val="3CCA6696"/>
    <w:rsid w:val="3CCA79DB"/>
    <w:rsid w:val="3CE14050"/>
    <w:rsid w:val="3D175544"/>
    <w:rsid w:val="3D176A0E"/>
    <w:rsid w:val="3D336E38"/>
    <w:rsid w:val="3D7247A7"/>
    <w:rsid w:val="3DA469A2"/>
    <w:rsid w:val="3DCE4CF9"/>
    <w:rsid w:val="3DEB101F"/>
    <w:rsid w:val="3E174CFF"/>
    <w:rsid w:val="3E2063AA"/>
    <w:rsid w:val="3E3C5DA0"/>
    <w:rsid w:val="3E3F3292"/>
    <w:rsid w:val="3EBC016B"/>
    <w:rsid w:val="3EC26400"/>
    <w:rsid w:val="3EC527CC"/>
    <w:rsid w:val="3ED656D0"/>
    <w:rsid w:val="3ED7221E"/>
    <w:rsid w:val="3EE65828"/>
    <w:rsid w:val="3EF262B4"/>
    <w:rsid w:val="3EF47429"/>
    <w:rsid w:val="3F325CA7"/>
    <w:rsid w:val="3F5253A7"/>
    <w:rsid w:val="3FA6738C"/>
    <w:rsid w:val="3FD90427"/>
    <w:rsid w:val="400E3EE7"/>
    <w:rsid w:val="4074248D"/>
    <w:rsid w:val="408B5E77"/>
    <w:rsid w:val="40B547E7"/>
    <w:rsid w:val="40D07C77"/>
    <w:rsid w:val="40FC5278"/>
    <w:rsid w:val="4149719B"/>
    <w:rsid w:val="419158DF"/>
    <w:rsid w:val="4199609F"/>
    <w:rsid w:val="41A470D2"/>
    <w:rsid w:val="41B13E8F"/>
    <w:rsid w:val="41DB4DAC"/>
    <w:rsid w:val="421F78AD"/>
    <w:rsid w:val="423A4CCA"/>
    <w:rsid w:val="423B3313"/>
    <w:rsid w:val="424D7697"/>
    <w:rsid w:val="426E3EF5"/>
    <w:rsid w:val="42CF57D8"/>
    <w:rsid w:val="42E1081D"/>
    <w:rsid w:val="42E25678"/>
    <w:rsid w:val="43081ED8"/>
    <w:rsid w:val="43285736"/>
    <w:rsid w:val="4386587D"/>
    <w:rsid w:val="439177D2"/>
    <w:rsid w:val="439B54D3"/>
    <w:rsid w:val="43BD1FF1"/>
    <w:rsid w:val="43F96848"/>
    <w:rsid w:val="44114AB5"/>
    <w:rsid w:val="441D40A1"/>
    <w:rsid w:val="44900D15"/>
    <w:rsid w:val="44A45CDF"/>
    <w:rsid w:val="44AF63E0"/>
    <w:rsid w:val="44E75971"/>
    <w:rsid w:val="44E91969"/>
    <w:rsid w:val="453C0020"/>
    <w:rsid w:val="4547237D"/>
    <w:rsid w:val="455A045B"/>
    <w:rsid w:val="455B68D0"/>
    <w:rsid w:val="45631027"/>
    <w:rsid w:val="456F1408"/>
    <w:rsid w:val="459963C2"/>
    <w:rsid w:val="45B0156B"/>
    <w:rsid w:val="45CE4CBA"/>
    <w:rsid w:val="45EB5CAE"/>
    <w:rsid w:val="45F0193A"/>
    <w:rsid w:val="46803634"/>
    <w:rsid w:val="46827EC6"/>
    <w:rsid w:val="472B341B"/>
    <w:rsid w:val="472E57BF"/>
    <w:rsid w:val="47991A57"/>
    <w:rsid w:val="47A90A9B"/>
    <w:rsid w:val="47B142FF"/>
    <w:rsid w:val="4813374D"/>
    <w:rsid w:val="48484E0B"/>
    <w:rsid w:val="48D948F4"/>
    <w:rsid w:val="48DE2895"/>
    <w:rsid w:val="490D2F3A"/>
    <w:rsid w:val="490D33A1"/>
    <w:rsid w:val="49805B5B"/>
    <w:rsid w:val="49895E52"/>
    <w:rsid w:val="498E32EC"/>
    <w:rsid w:val="49AC7A4A"/>
    <w:rsid w:val="49B77C6A"/>
    <w:rsid w:val="49C939E9"/>
    <w:rsid w:val="49FA36B7"/>
    <w:rsid w:val="4A247798"/>
    <w:rsid w:val="4A2B2A70"/>
    <w:rsid w:val="4A4D6EB7"/>
    <w:rsid w:val="4A515774"/>
    <w:rsid w:val="4A5C3E40"/>
    <w:rsid w:val="4A805BFC"/>
    <w:rsid w:val="4AC56E47"/>
    <w:rsid w:val="4AF545B0"/>
    <w:rsid w:val="4B24312E"/>
    <w:rsid w:val="4B505D22"/>
    <w:rsid w:val="4B724082"/>
    <w:rsid w:val="4BA17E8B"/>
    <w:rsid w:val="4BC16228"/>
    <w:rsid w:val="4BE24DF6"/>
    <w:rsid w:val="4C23478C"/>
    <w:rsid w:val="4C4B6454"/>
    <w:rsid w:val="4C683EAE"/>
    <w:rsid w:val="4CAE1074"/>
    <w:rsid w:val="4CC24B4C"/>
    <w:rsid w:val="4CD24250"/>
    <w:rsid w:val="4CDC56D0"/>
    <w:rsid w:val="4CE65D96"/>
    <w:rsid w:val="4D220C65"/>
    <w:rsid w:val="4D2838DB"/>
    <w:rsid w:val="4D5E1D9B"/>
    <w:rsid w:val="4DD1016F"/>
    <w:rsid w:val="4E0F2167"/>
    <w:rsid w:val="4E2B0574"/>
    <w:rsid w:val="4E406281"/>
    <w:rsid w:val="4E440E8A"/>
    <w:rsid w:val="4E4A6D3E"/>
    <w:rsid w:val="4E4F1CDF"/>
    <w:rsid w:val="4E5D2C27"/>
    <w:rsid w:val="4EAF55F6"/>
    <w:rsid w:val="4EB40E5E"/>
    <w:rsid w:val="4EC2135F"/>
    <w:rsid w:val="4EC31C76"/>
    <w:rsid w:val="4EF40497"/>
    <w:rsid w:val="4F4A3AAA"/>
    <w:rsid w:val="4F755649"/>
    <w:rsid w:val="501D65D7"/>
    <w:rsid w:val="504325E0"/>
    <w:rsid w:val="506D0240"/>
    <w:rsid w:val="507C53F0"/>
    <w:rsid w:val="50A03A54"/>
    <w:rsid w:val="51013C2C"/>
    <w:rsid w:val="51105DDB"/>
    <w:rsid w:val="51332F98"/>
    <w:rsid w:val="516A304E"/>
    <w:rsid w:val="518938B8"/>
    <w:rsid w:val="51F04FA9"/>
    <w:rsid w:val="51FA2972"/>
    <w:rsid w:val="52024BD4"/>
    <w:rsid w:val="5207066E"/>
    <w:rsid w:val="52206116"/>
    <w:rsid w:val="52284718"/>
    <w:rsid w:val="52715C1B"/>
    <w:rsid w:val="52796ED1"/>
    <w:rsid w:val="527F4F54"/>
    <w:rsid w:val="52B40CB9"/>
    <w:rsid w:val="532A6C30"/>
    <w:rsid w:val="534F2AD2"/>
    <w:rsid w:val="53664252"/>
    <w:rsid w:val="53A935D9"/>
    <w:rsid w:val="53EB7A82"/>
    <w:rsid w:val="54101A5B"/>
    <w:rsid w:val="542A5090"/>
    <w:rsid w:val="54412383"/>
    <w:rsid w:val="545C4E88"/>
    <w:rsid w:val="546D72E7"/>
    <w:rsid w:val="54AB25EF"/>
    <w:rsid w:val="551A04C1"/>
    <w:rsid w:val="557225A6"/>
    <w:rsid w:val="5584208D"/>
    <w:rsid w:val="55AC288F"/>
    <w:rsid w:val="55B0208C"/>
    <w:rsid w:val="55C92229"/>
    <w:rsid w:val="56063515"/>
    <w:rsid w:val="56131C13"/>
    <w:rsid w:val="56232DF6"/>
    <w:rsid w:val="562F6059"/>
    <w:rsid w:val="56615BAA"/>
    <w:rsid w:val="56C1448F"/>
    <w:rsid w:val="56F36458"/>
    <w:rsid w:val="570F00EC"/>
    <w:rsid w:val="577962DE"/>
    <w:rsid w:val="57AB60C7"/>
    <w:rsid w:val="57D13B36"/>
    <w:rsid w:val="582B3526"/>
    <w:rsid w:val="58442546"/>
    <w:rsid w:val="585B13D9"/>
    <w:rsid w:val="587319D6"/>
    <w:rsid w:val="587641C2"/>
    <w:rsid w:val="589243A0"/>
    <w:rsid w:val="58970D19"/>
    <w:rsid w:val="58B7446F"/>
    <w:rsid w:val="58BA7BD1"/>
    <w:rsid w:val="58E616B7"/>
    <w:rsid w:val="59301C83"/>
    <w:rsid w:val="59512BA9"/>
    <w:rsid w:val="596B0EFB"/>
    <w:rsid w:val="596B4844"/>
    <w:rsid w:val="597D3391"/>
    <w:rsid w:val="59935304"/>
    <w:rsid w:val="599B1F11"/>
    <w:rsid w:val="59C37876"/>
    <w:rsid w:val="59CB138A"/>
    <w:rsid w:val="5A181A8B"/>
    <w:rsid w:val="5A4002ED"/>
    <w:rsid w:val="5A4F3A84"/>
    <w:rsid w:val="5A5D1A65"/>
    <w:rsid w:val="5A7D4F9A"/>
    <w:rsid w:val="5ABA50CA"/>
    <w:rsid w:val="5ACE5760"/>
    <w:rsid w:val="5AE24A07"/>
    <w:rsid w:val="5AE923A9"/>
    <w:rsid w:val="5B321D74"/>
    <w:rsid w:val="5B714513"/>
    <w:rsid w:val="5BFE38C4"/>
    <w:rsid w:val="5C0537BE"/>
    <w:rsid w:val="5C574674"/>
    <w:rsid w:val="5CAF5932"/>
    <w:rsid w:val="5CC35EF0"/>
    <w:rsid w:val="5CEF1057"/>
    <w:rsid w:val="5DE00244"/>
    <w:rsid w:val="5E4107AB"/>
    <w:rsid w:val="5E46119C"/>
    <w:rsid w:val="5E704464"/>
    <w:rsid w:val="5EBC57AC"/>
    <w:rsid w:val="5F284360"/>
    <w:rsid w:val="5F505DEE"/>
    <w:rsid w:val="5F6612E8"/>
    <w:rsid w:val="5F8B1285"/>
    <w:rsid w:val="5FB861D5"/>
    <w:rsid w:val="5FEA0B84"/>
    <w:rsid w:val="601A5FA1"/>
    <w:rsid w:val="603A723A"/>
    <w:rsid w:val="60556206"/>
    <w:rsid w:val="6090307B"/>
    <w:rsid w:val="60A43B4A"/>
    <w:rsid w:val="60C042ED"/>
    <w:rsid w:val="60DB5914"/>
    <w:rsid w:val="61A23C45"/>
    <w:rsid w:val="61AB731D"/>
    <w:rsid w:val="61AC392A"/>
    <w:rsid w:val="61B9565B"/>
    <w:rsid w:val="621A3FC3"/>
    <w:rsid w:val="621E6E66"/>
    <w:rsid w:val="62347E94"/>
    <w:rsid w:val="6264670D"/>
    <w:rsid w:val="626709C1"/>
    <w:rsid w:val="62841651"/>
    <w:rsid w:val="628B4602"/>
    <w:rsid w:val="62F272A8"/>
    <w:rsid w:val="62FE60CC"/>
    <w:rsid w:val="63024A1D"/>
    <w:rsid w:val="630E086F"/>
    <w:rsid w:val="631D49D1"/>
    <w:rsid w:val="633B5154"/>
    <w:rsid w:val="63490F21"/>
    <w:rsid w:val="638A01DB"/>
    <w:rsid w:val="63A00416"/>
    <w:rsid w:val="641333ED"/>
    <w:rsid w:val="64297570"/>
    <w:rsid w:val="64C637EB"/>
    <w:rsid w:val="64C82A48"/>
    <w:rsid w:val="64D20AB8"/>
    <w:rsid w:val="64EB2C03"/>
    <w:rsid w:val="64EC622B"/>
    <w:rsid w:val="64FD41A4"/>
    <w:rsid w:val="650901BF"/>
    <w:rsid w:val="655A2308"/>
    <w:rsid w:val="65636BF0"/>
    <w:rsid w:val="65964FE2"/>
    <w:rsid w:val="65EC0298"/>
    <w:rsid w:val="66152D10"/>
    <w:rsid w:val="661D193F"/>
    <w:rsid w:val="662A75D3"/>
    <w:rsid w:val="66437D03"/>
    <w:rsid w:val="66A01F07"/>
    <w:rsid w:val="66C52747"/>
    <w:rsid w:val="66F50B47"/>
    <w:rsid w:val="66F532CF"/>
    <w:rsid w:val="66FC24D4"/>
    <w:rsid w:val="670536F6"/>
    <w:rsid w:val="676B3BED"/>
    <w:rsid w:val="67800CAB"/>
    <w:rsid w:val="678F299B"/>
    <w:rsid w:val="67A95E98"/>
    <w:rsid w:val="67D74CBD"/>
    <w:rsid w:val="680C039C"/>
    <w:rsid w:val="685E3E5E"/>
    <w:rsid w:val="68716FB6"/>
    <w:rsid w:val="68813382"/>
    <w:rsid w:val="6897276B"/>
    <w:rsid w:val="68AB3BA0"/>
    <w:rsid w:val="68F230F9"/>
    <w:rsid w:val="69096D76"/>
    <w:rsid w:val="691847D1"/>
    <w:rsid w:val="692C4EDD"/>
    <w:rsid w:val="6931512E"/>
    <w:rsid w:val="6941638F"/>
    <w:rsid w:val="696D18BC"/>
    <w:rsid w:val="69776565"/>
    <w:rsid w:val="69937B96"/>
    <w:rsid w:val="69FB30A3"/>
    <w:rsid w:val="6A014013"/>
    <w:rsid w:val="6A0D559C"/>
    <w:rsid w:val="6A5F4AB0"/>
    <w:rsid w:val="6A8B14FA"/>
    <w:rsid w:val="6ADD4995"/>
    <w:rsid w:val="6B430ED0"/>
    <w:rsid w:val="6BA63D9C"/>
    <w:rsid w:val="6BBD7EFF"/>
    <w:rsid w:val="6C1867E8"/>
    <w:rsid w:val="6C21438F"/>
    <w:rsid w:val="6C852BA1"/>
    <w:rsid w:val="6D0A2AB6"/>
    <w:rsid w:val="6D1D7097"/>
    <w:rsid w:val="6D2B03FE"/>
    <w:rsid w:val="6D2F6897"/>
    <w:rsid w:val="6D4D1DAA"/>
    <w:rsid w:val="6D551C5E"/>
    <w:rsid w:val="6D77220F"/>
    <w:rsid w:val="6DA42935"/>
    <w:rsid w:val="6DB03E1F"/>
    <w:rsid w:val="6DDE3D1F"/>
    <w:rsid w:val="6E0145B9"/>
    <w:rsid w:val="6E182E62"/>
    <w:rsid w:val="6E863B54"/>
    <w:rsid w:val="6EDF0573"/>
    <w:rsid w:val="6EEA46FD"/>
    <w:rsid w:val="6F0B06C0"/>
    <w:rsid w:val="6F435143"/>
    <w:rsid w:val="6F476814"/>
    <w:rsid w:val="6F614293"/>
    <w:rsid w:val="6F681AF4"/>
    <w:rsid w:val="6F716327"/>
    <w:rsid w:val="6F8D4DDA"/>
    <w:rsid w:val="6F9D15F7"/>
    <w:rsid w:val="6FA25F63"/>
    <w:rsid w:val="6FCE7912"/>
    <w:rsid w:val="6FF71312"/>
    <w:rsid w:val="6FFC5776"/>
    <w:rsid w:val="70173294"/>
    <w:rsid w:val="70241F4F"/>
    <w:rsid w:val="702C5F79"/>
    <w:rsid w:val="702E2F0E"/>
    <w:rsid w:val="70A95833"/>
    <w:rsid w:val="70AF12E8"/>
    <w:rsid w:val="70B759E7"/>
    <w:rsid w:val="70EA13B2"/>
    <w:rsid w:val="712842DD"/>
    <w:rsid w:val="71290FCA"/>
    <w:rsid w:val="71442588"/>
    <w:rsid w:val="717E3AF4"/>
    <w:rsid w:val="718F69FB"/>
    <w:rsid w:val="723B2FF6"/>
    <w:rsid w:val="72B02F54"/>
    <w:rsid w:val="72B34EB1"/>
    <w:rsid w:val="72B762D6"/>
    <w:rsid w:val="72C919EB"/>
    <w:rsid w:val="72CA020C"/>
    <w:rsid w:val="72DC5A9B"/>
    <w:rsid w:val="73635594"/>
    <w:rsid w:val="73955546"/>
    <w:rsid w:val="73A25C0F"/>
    <w:rsid w:val="73C9597A"/>
    <w:rsid w:val="740D40E6"/>
    <w:rsid w:val="742228DC"/>
    <w:rsid w:val="742C6C3E"/>
    <w:rsid w:val="745E567C"/>
    <w:rsid w:val="746740F9"/>
    <w:rsid w:val="74933671"/>
    <w:rsid w:val="749D1FF8"/>
    <w:rsid w:val="74AC5853"/>
    <w:rsid w:val="74B36E75"/>
    <w:rsid w:val="74C30E5D"/>
    <w:rsid w:val="74D13CF2"/>
    <w:rsid w:val="74D41DBA"/>
    <w:rsid w:val="74DB48CA"/>
    <w:rsid w:val="74DF0E98"/>
    <w:rsid w:val="752908DA"/>
    <w:rsid w:val="75546327"/>
    <w:rsid w:val="756F2643"/>
    <w:rsid w:val="75B10B57"/>
    <w:rsid w:val="75BC1D98"/>
    <w:rsid w:val="767F3ECF"/>
    <w:rsid w:val="768216BE"/>
    <w:rsid w:val="76CB2716"/>
    <w:rsid w:val="76D55E4D"/>
    <w:rsid w:val="76E557A9"/>
    <w:rsid w:val="772A59BA"/>
    <w:rsid w:val="77370394"/>
    <w:rsid w:val="773F7D7B"/>
    <w:rsid w:val="77B91075"/>
    <w:rsid w:val="7826366D"/>
    <w:rsid w:val="78455D9C"/>
    <w:rsid w:val="785946AD"/>
    <w:rsid w:val="78636CA2"/>
    <w:rsid w:val="7868498C"/>
    <w:rsid w:val="78B210A9"/>
    <w:rsid w:val="78F743CB"/>
    <w:rsid w:val="78FE1656"/>
    <w:rsid w:val="79150314"/>
    <w:rsid w:val="791B6EEF"/>
    <w:rsid w:val="792318F5"/>
    <w:rsid w:val="79510E1F"/>
    <w:rsid w:val="79740268"/>
    <w:rsid w:val="797F66F6"/>
    <w:rsid w:val="79980540"/>
    <w:rsid w:val="79AE4D4C"/>
    <w:rsid w:val="7A021F6C"/>
    <w:rsid w:val="7A317F9C"/>
    <w:rsid w:val="7A5275FA"/>
    <w:rsid w:val="7A825C67"/>
    <w:rsid w:val="7AA65E90"/>
    <w:rsid w:val="7AB1337A"/>
    <w:rsid w:val="7AC231D1"/>
    <w:rsid w:val="7B7D7B4C"/>
    <w:rsid w:val="7BB40177"/>
    <w:rsid w:val="7BC84B0A"/>
    <w:rsid w:val="7BCE3749"/>
    <w:rsid w:val="7BD90FBD"/>
    <w:rsid w:val="7BEC48DA"/>
    <w:rsid w:val="7C496345"/>
    <w:rsid w:val="7C612775"/>
    <w:rsid w:val="7D1D5C9D"/>
    <w:rsid w:val="7D2B4889"/>
    <w:rsid w:val="7D307801"/>
    <w:rsid w:val="7D4C398F"/>
    <w:rsid w:val="7D6F20CB"/>
    <w:rsid w:val="7D7D0C93"/>
    <w:rsid w:val="7D9A6C23"/>
    <w:rsid w:val="7DAD11AE"/>
    <w:rsid w:val="7DEB63AF"/>
    <w:rsid w:val="7E15623C"/>
    <w:rsid w:val="7E271DD0"/>
    <w:rsid w:val="7E443413"/>
    <w:rsid w:val="7E83567C"/>
    <w:rsid w:val="7F1312B4"/>
    <w:rsid w:val="7F311EAF"/>
    <w:rsid w:val="7F582414"/>
    <w:rsid w:val="7F5E0D10"/>
    <w:rsid w:val="7F6518F3"/>
    <w:rsid w:val="7F802513"/>
    <w:rsid w:val="7F812AB6"/>
    <w:rsid w:val="7FF65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nhideWhenUsed="0" w:uiPriority="99"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wordWrap w:val="0"/>
      <w:autoSpaceDE w:val="0"/>
      <w:autoSpaceDN w:val="0"/>
      <w:spacing w:line="360" w:lineRule="auto"/>
      <w:ind w:firstLine="400" w:firstLineChars="200"/>
    </w:pPr>
    <w:rPr>
      <w:rFonts w:ascii="Times New Roman" w:hAnsi="Times New Roman" w:eastAsia="宋体" w:cs="宋体"/>
      <w:sz w:val="24"/>
      <w:szCs w:val="22"/>
      <w:lang w:val="zh-CN" w:eastAsia="zh-CN" w:bidi="zh-CN"/>
    </w:rPr>
  </w:style>
  <w:style w:type="paragraph" w:styleId="7">
    <w:name w:val="heading 1"/>
    <w:basedOn w:val="1"/>
    <w:next w:val="1"/>
    <w:link w:val="41"/>
    <w:qFormat/>
    <w:uiPriority w:val="1"/>
    <w:pPr>
      <w:ind w:firstLine="0" w:firstLineChars="0"/>
      <w:outlineLvl w:val="0"/>
    </w:pPr>
    <w:rPr>
      <w:rFonts w:eastAsia="黑体" w:cs="微软雅黑"/>
      <w:b/>
      <w:sz w:val="36"/>
      <w:szCs w:val="38"/>
    </w:rPr>
  </w:style>
  <w:style w:type="paragraph" w:styleId="8">
    <w:name w:val="heading 2"/>
    <w:basedOn w:val="1"/>
    <w:next w:val="1"/>
    <w:link w:val="35"/>
    <w:qFormat/>
    <w:uiPriority w:val="1"/>
    <w:pPr>
      <w:spacing w:before="60" w:after="60"/>
      <w:outlineLvl w:val="1"/>
    </w:pPr>
    <w:rPr>
      <w:sz w:val="32"/>
      <w:szCs w:val="36"/>
    </w:rPr>
  </w:style>
  <w:style w:type="paragraph" w:styleId="9">
    <w:name w:val="heading 3"/>
    <w:basedOn w:val="1"/>
    <w:next w:val="1"/>
    <w:link w:val="40"/>
    <w:unhideWhenUsed/>
    <w:qFormat/>
    <w:uiPriority w:val="9"/>
    <w:pPr>
      <w:spacing w:before="80" w:beforeLines="80" w:after="80" w:afterLines="80" w:line="240" w:lineRule="auto"/>
      <w:ind w:firstLine="0" w:firstLineChars="0"/>
      <w:outlineLvl w:val="2"/>
    </w:pPr>
    <w:rPr>
      <w:rFonts w:cs="Angsana New"/>
      <w:b/>
      <w:bCs/>
      <w:sz w:val="30"/>
      <w:szCs w:val="28"/>
      <w:lang w:bidi="th-TH"/>
    </w:rPr>
  </w:style>
  <w:style w:type="paragraph" w:styleId="10">
    <w:name w:val="heading 4"/>
    <w:basedOn w:val="1"/>
    <w:next w:val="1"/>
    <w:qFormat/>
    <w:uiPriority w:val="99"/>
    <w:pPr>
      <w:keepNext/>
      <w:keepLines/>
      <w:spacing w:before="120" w:after="120"/>
      <w:outlineLvl w:val="3"/>
    </w:pPr>
    <w:rPr>
      <w:rFonts w:ascii="Calibri Light" w:hAnsi="Calibri Light"/>
      <w:szCs w:val="28"/>
    </w:rPr>
  </w:style>
  <w:style w:type="paragraph" w:styleId="11">
    <w:name w:val="heading 5"/>
    <w:basedOn w:val="1"/>
    <w:next w:val="1"/>
    <w:unhideWhenUsed/>
    <w:qFormat/>
    <w:uiPriority w:val="0"/>
    <w:pPr>
      <w:keepNext/>
      <w:keepLines/>
      <w:spacing w:before="280" w:after="290" w:line="372" w:lineRule="auto"/>
      <w:outlineLvl w:val="4"/>
    </w:pPr>
    <w:rPr>
      <w:b/>
      <w:sz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3">
    <w:name w:val="纯文本1"/>
    <w:basedOn w:val="1"/>
    <w:qFormat/>
    <w:uiPriority w:val="0"/>
    <w:rPr>
      <w:rFonts w:ascii="宋体" w:hAnsi="Courier New"/>
    </w:rPr>
  </w:style>
  <w:style w:type="paragraph" w:customStyle="1" w:styleId="4">
    <w:name w:val="样式35"/>
    <w:next w:val="5"/>
    <w:qFormat/>
    <w:uiPriority w:val="0"/>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5">
    <w:name w:val="font6"/>
    <w:next w:val="6"/>
    <w:qFormat/>
    <w:uiPriority w:val="0"/>
    <w:pPr>
      <w:spacing w:before="280" w:after="280"/>
      <w:jc w:val="both"/>
    </w:pPr>
    <w:rPr>
      <w:rFonts w:ascii="Times New Roman" w:hAnsi="Times New Roman" w:eastAsia="宋体" w:cs="Times New Roman"/>
      <w:kern w:val="2"/>
      <w:sz w:val="21"/>
      <w:szCs w:val="22"/>
      <w:lang w:val="en-US" w:eastAsia="zh-CN" w:bidi="ar-SA"/>
    </w:rPr>
  </w:style>
  <w:style w:type="paragraph" w:styleId="6">
    <w:name w:val="toc 2"/>
    <w:basedOn w:val="1"/>
    <w:next w:val="1"/>
    <w:qFormat/>
    <w:uiPriority w:val="0"/>
    <w:pPr>
      <w:spacing w:line="240" w:lineRule="auto"/>
      <w:ind w:left="420" w:leftChars="200"/>
    </w:pPr>
    <w:rPr>
      <w:rFonts w:ascii="Calibri" w:hAnsi="Calibri" w:eastAsia="宋体"/>
    </w:rPr>
  </w:style>
  <w:style w:type="paragraph" w:styleId="12">
    <w:name w:val="Normal Indent"/>
    <w:basedOn w:val="1"/>
    <w:unhideWhenUsed/>
    <w:qFormat/>
    <w:uiPriority w:val="99"/>
    <w:pPr>
      <w:ind w:firstLine="420"/>
    </w:pPr>
    <w:rPr>
      <w:szCs w:val="20"/>
    </w:rPr>
  </w:style>
  <w:style w:type="paragraph" w:styleId="13">
    <w:name w:val="annotation text"/>
    <w:basedOn w:val="1"/>
    <w:link w:val="49"/>
    <w:unhideWhenUsed/>
    <w:qFormat/>
    <w:uiPriority w:val="99"/>
  </w:style>
  <w:style w:type="paragraph" w:styleId="14">
    <w:name w:val="Body Text"/>
    <w:basedOn w:val="1"/>
    <w:next w:val="15"/>
    <w:qFormat/>
    <w:uiPriority w:val="1"/>
    <w:rPr>
      <w:rFonts w:cs="黑体"/>
      <w:szCs w:val="30"/>
    </w:rPr>
  </w:style>
  <w:style w:type="paragraph" w:customStyle="1" w:styleId="15">
    <w:name w:val="xl27"/>
    <w:basedOn w:val="1"/>
    <w:qFormat/>
    <w:uiPriority w:val="0"/>
    <w:pPr>
      <w:widowControl/>
      <w:pBdr>
        <w:bottom w:val="single" w:color="auto" w:sz="4" w:space="0"/>
        <w:right w:val="single" w:color="auto" w:sz="4" w:space="0"/>
      </w:pBdr>
      <w:spacing w:before="100" w:beforeAutospacing="1" w:after="100" w:afterAutospacing="1"/>
    </w:pPr>
    <w:rPr>
      <w:rFonts w:ascii="Arial Unicode MS" w:hAnsi="Arial Unicode MS" w:eastAsia="Arial Unicode MS" w:cs="Arial Unicode MS"/>
      <w:sz w:val="26"/>
      <w:szCs w:val="26"/>
    </w:rPr>
  </w:style>
  <w:style w:type="paragraph" w:styleId="16">
    <w:name w:val="Body Text Indent"/>
    <w:basedOn w:val="1"/>
    <w:next w:val="17"/>
    <w:unhideWhenUsed/>
    <w:qFormat/>
    <w:uiPriority w:val="99"/>
    <w:pPr>
      <w:spacing w:after="120"/>
      <w:ind w:left="420" w:leftChars="200"/>
    </w:pPr>
  </w:style>
  <w:style w:type="paragraph" w:styleId="17">
    <w:name w:val="Body Text Indent 2"/>
    <w:basedOn w:val="1"/>
    <w:qFormat/>
    <w:uiPriority w:val="0"/>
    <w:pPr>
      <w:spacing w:after="120" w:afterLines="0" w:line="480" w:lineRule="auto"/>
      <w:ind w:left="420" w:leftChars="200"/>
    </w:pPr>
  </w:style>
  <w:style w:type="paragraph" w:styleId="18">
    <w:name w:val="Plain Text"/>
    <w:basedOn w:val="1"/>
    <w:unhideWhenUsed/>
    <w:qFormat/>
    <w:uiPriority w:val="99"/>
    <w:pPr>
      <w:adjustRightInd w:val="0"/>
      <w:spacing w:line="312" w:lineRule="atLeast"/>
      <w:ind w:firstLine="0" w:firstLineChars="0"/>
      <w:textAlignment w:val="baseline"/>
    </w:pPr>
    <w:rPr>
      <w:rFonts w:ascii="宋体" w:hAnsi="Courier New"/>
    </w:rPr>
  </w:style>
  <w:style w:type="paragraph" w:styleId="19">
    <w:name w:val="Balloon Text"/>
    <w:basedOn w:val="1"/>
    <w:link w:val="48"/>
    <w:qFormat/>
    <w:uiPriority w:val="0"/>
    <w:pPr>
      <w:spacing w:line="240" w:lineRule="auto"/>
    </w:pPr>
    <w:rPr>
      <w:sz w:val="18"/>
      <w:szCs w:val="18"/>
    </w:rPr>
  </w:style>
  <w:style w:type="paragraph" w:styleId="20">
    <w:name w:val="footer"/>
    <w:basedOn w:val="1"/>
    <w:unhideWhenUsed/>
    <w:qFormat/>
    <w:uiPriority w:val="99"/>
    <w:pPr>
      <w:snapToGrid w:val="0"/>
      <w:spacing w:line="240" w:lineRule="auto"/>
    </w:pPr>
    <w:rPr>
      <w:sz w:val="18"/>
      <w:szCs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22">
    <w:name w:val="toc 1"/>
    <w:basedOn w:val="1"/>
    <w:next w:val="1"/>
    <w:qFormat/>
    <w:uiPriority w:val="0"/>
    <w:pPr>
      <w:ind w:firstLine="0" w:firstLineChars="0"/>
    </w:pPr>
    <w:rPr>
      <w:b/>
      <w:sz w:val="28"/>
    </w:rPr>
  </w:style>
  <w:style w:type="paragraph" w:styleId="23">
    <w:name w:val="Subtitle"/>
    <w:basedOn w:val="1"/>
    <w:next w:val="1"/>
    <w:qFormat/>
    <w:uiPriority w:val="99"/>
    <w:pPr>
      <w:jc w:val="center"/>
    </w:pPr>
    <w:rPr>
      <w:kern w:val="28"/>
      <w:sz w:val="21"/>
      <w:szCs w:val="21"/>
    </w:rPr>
  </w:style>
  <w:style w:type="paragraph" w:styleId="24">
    <w:name w:val="List"/>
    <w:basedOn w:val="1"/>
    <w:unhideWhenUsed/>
    <w:qFormat/>
    <w:uiPriority w:val="99"/>
    <w:pPr>
      <w:spacing w:before="100" w:beforeAutospacing="1" w:after="100" w:afterAutospacing="1"/>
      <w:ind w:left="200" w:hanging="200" w:hangingChars="200"/>
      <w:contextualSpacing/>
    </w:pPr>
  </w:style>
  <w:style w:type="paragraph" w:styleId="25">
    <w:name w:val="List 4"/>
    <w:basedOn w:val="1"/>
    <w:qFormat/>
    <w:uiPriority w:val="0"/>
    <w:pPr>
      <w:ind w:left="100" w:leftChars="600" w:hanging="200" w:hangingChars="200"/>
      <w:contextualSpacing/>
    </w:pPr>
  </w:style>
  <w:style w:type="paragraph" w:styleId="26">
    <w:name w:val="Normal (Web)"/>
    <w:basedOn w:val="1"/>
    <w:unhideWhenUsed/>
    <w:qFormat/>
    <w:uiPriority w:val="99"/>
    <w:pPr>
      <w:widowControl/>
      <w:spacing w:before="100" w:beforeAutospacing="1" w:after="100" w:afterAutospacing="1" w:line="240" w:lineRule="auto"/>
      <w:ind w:firstLine="0" w:firstLineChars="0"/>
    </w:pPr>
    <w:rPr>
      <w:rFonts w:ascii="宋体" w:hAnsi="宋体"/>
    </w:rPr>
  </w:style>
  <w:style w:type="paragraph" w:styleId="27">
    <w:name w:val="Title"/>
    <w:basedOn w:val="1"/>
    <w:next w:val="1"/>
    <w:qFormat/>
    <w:uiPriority w:val="0"/>
    <w:pPr>
      <w:spacing w:line="360" w:lineRule="auto"/>
      <w:jc w:val="center"/>
      <w:outlineLvl w:val="0"/>
    </w:pPr>
    <w:rPr>
      <w:rFonts w:ascii="Times New Roman" w:hAnsi="Times New Roman"/>
      <w:b/>
      <w:bCs/>
      <w:color w:val="000000"/>
      <w:kern w:val="0"/>
      <w:szCs w:val="32"/>
    </w:rPr>
  </w:style>
  <w:style w:type="paragraph" w:styleId="28">
    <w:name w:val="annotation subject"/>
    <w:basedOn w:val="13"/>
    <w:next w:val="13"/>
    <w:link w:val="50"/>
    <w:qFormat/>
    <w:uiPriority w:val="0"/>
    <w:rPr>
      <w:b/>
      <w:bCs/>
    </w:rPr>
  </w:style>
  <w:style w:type="paragraph" w:styleId="29">
    <w:name w:val="Body Text First Indent"/>
    <w:basedOn w:val="14"/>
    <w:next w:val="1"/>
    <w:qFormat/>
    <w:uiPriority w:val="0"/>
    <w:pPr>
      <w:adjustRightInd w:val="0"/>
      <w:snapToGrid w:val="0"/>
      <w:spacing w:before="156" w:beforeLines="50" w:after="0" w:afterLines="0" w:line="360" w:lineRule="auto"/>
      <w:ind w:firstLine="200" w:firstLineChars="200"/>
    </w:pPr>
    <w:rPr>
      <w:sz w:val="24"/>
    </w:rPr>
  </w:style>
  <w:style w:type="paragraph" w:styleId="30">
    <w:name w:val="Body Text First Indent 2"/>
    <w:basedOn w:val="16"/>
    <w:next w:val="1"/>
    <w:unhideWhenUsed/>
    <w:qFormat/>
    <w:uiPriority w:val="99"/>
    <w:pPr>
      <w:tabs>
        <w:tab w:val="left" w:pos="1021"/>
      </w:tabs>
      <w:ind w:firstLine="420"/>
    </w:pPr>
    <w:rPr>
      <w:lang w:val="en-US"/>
    </w:rPr>
  </w:style>
  <w:style w:type="table" w:styleId="32">
    <w:name w:val="Table Grid"/>
    <w:basedOn w:val="31"/>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annotation reference"/>
    <w:basedOn w:val="33"/>
    <w:unhideWhenUsed/>
    <w:qFormat/>
    <w:uiPriority w:val="99"/>
    <w:rPr>
      <w:sz w:val="21"/>
      <w:szCs w:val="21"/>
    </w:rPr>
  </w:style>
  <w:style w:type="character" w:customStyle="1" w:styleId="35">
    <w:name w:val="标题 2 Char"/>
    <w:link w:val="8"/>
    <w:qFormat/>
    <w:uiPriority w:val="1"/>
    <w:rPr>
      <w:rFonts w:ascii="Times New Roman" w:hAnsi="Times New Roman" w:eastAsia="黑体"/>
      <w:b/>
      <w:sz w:val="32"/>
      <w:szCs w:val="36"/>
    </w:rPr>
  </w:style>
  <w:style w:type="table" w:customStyle="1" w:styleId="36">
    <w:name w:val="Table Normal"/>
    <w:semiHidden/>
    <w:unhideWhenUsed/>
    <w:qFormat/>
    <w:uiPriority w:val="2"/>
    <w:tblPr>
      <w:tblCellMar>
        <w:top w:w="0" w:type="dxa"/>
        <w:left w:w="0" w:type="dxa"/>
        <w:bottom w:w="0" w:type="dxa"/>
        <w:right w:w="0" w:type="dxa"/>
      </w:tblCellMar>
    </w:tblPr>
  </w:style>
  <w:style w:type="paragraph" w:styleId="37">
    <w:name w:val="List Paragraph"/>
    <w:basedOn w:val="1"/>
    <w:qFormat/>
    <w:uiPriority w:val="1"/>
  </w:style>
  <w:style w:type="paragraph" w:customStyle="1" w:styleId="38">
    <w:name w:val="表格"/>
    <w:basedOn w:val="1"/>
    <w:next w:val="1"/>
    <w:qFormat/>
    <w:uiPriority w:val="0"/>
    <w:pPr>
      <w:spacing w:line="240" w:lineRule="auto"/>
      <w:ind w:firstLine="0" w:firstLineChars="0"/>
      <w:jc w:val="center"/>
    </w:pPr>
    <w:rPr>
      <w:sz w:val="21"/>
      <w:szCs w:val="21"/>
    </w:rPr>
  </w:style>
  <w:style w:type="paragraph" w:customStyle="1" w:styleId="39">
    <w:name w:val="表头"/>
    <w:basedOn w:val="1"/>
    <w:next w:val="1"/>
    <w:link w:val="42"/>
    <w:qFormat/>
    <w:uiPriority w:val="0"/>
    <w:pPr>
      <w:adjustRightInd w:val="0"/>
      <w:snapToGrid w:val="0"/>
      <w:spacing w:before="160" w:after="160" w:line="240" w:lineRule="auto"/>
      <w:ind w:firstLine="0" w:firstLineChars="0"/>
      <w:jc w:val="center"/>
      <w:textAlignment w:val="baseline"/>
    </w:pPr>
    <w:rPr>
      <w:b/>
      <w:spacing w:val="-11"/>
      <w:sz w:val="21"/>
      <w:szCs w:val="21"/>
    </w:rPr>
  </w:style>
  <w:style w:type="character" w:customStyle="1" w:styleId="40">
    <w:name w:val="标题 3 Char"/>
    <w:link w:val="9"/>
    <w:qFormat/>
    <w:uiPriority w:val="9"/>
    <w:rPr>
      <w:rFonts w:eastAsia="宋体" w:cs="Angsana New"/>
      <w:b/>
      <w:bCs/>
      <w:kern w:val="0"/>
      <w:sz w:val="30"/>
      <w:szCs w:val="28"/>
      <w:lang w:bidi="th-TH"/>
    </w:rPr>
  </w:style>
  <w:style w:type="character" w:customStyle="1" w:styleId="41">
    <w:name w:val="标题 1 Char"/>
    <w:link w:val="7"/>
    <w:qFormat/>
    <w:uiPriority w:val="1"/>
    <w:rPr>
      <w:rFonts w:ascii="Times New Roman" w:hAnsi="Times New Roman" w:eastAsia="黑体" w:cs="微软雅黑"/>
      <w:b/>
      <w:sz w:val="36"/>
      <w:szCs w:val="38"/>
    </w:rPr>
  </w:style>
  <w:style w:type="character" w:customStyle="1" w:styleId="42">
    <w:name w:val="表头 Char"/>
    <w:link w:val="39"/>
    <w:qFormat/>
    <w:uiPriority w:val="0"/>
    <w:rPr>
      <w:rFonts w:eastAsia="宋体"/>
      <w:b/>
      <w:spacing w:val="-11"/>
      <w:sz w:val="21"/>
      <w:szCs w:val="21"/>
    </w:rPr>
  </w:style>
  <w:style w:type="paragraph" w:customStyle="1" w:styleId="43">
    <w:name w:val="图表标题"/>
    <w:basedOn w:val="1"/>
    <w:next w:val="1"/>
    <w:link w:val="60"/>
    <w:qFormat/>
    <w:uiPriority w:val="0"/>
    <w:pPr>
      <w:widowControl/>
      <w:spacing w:before="120" w:after="120" w:line="240" w:lineRule="auto"/>
      <w:ind w:firstLine="0" w:firstLineChars="0"/>
      <w:jc w:val="center"/>
    </w:pPr>
    <w:rPr>
      <w:b/>
      <w:bCs/>
      <w:sz w:val="21"/>
      <w:szCs w:val="21"/>
    </w:rPr>
  </w:style>
  <w:style w:type="paragraph" w:customStyle="1" w:styleId="44">
    <w:name w:val="sheet"/>
    <w:qFormat/>
    <w:uiPriority w:val="0"/>
    <w:pPr>
      <w:jc w:val="center"/>
      <w:textAlignment w:val="center"/>
    </w:pPr>
    <w:rPr>
      <w:rFonts w:ascii="Calibri" w:hAnsi="Calibri" w:eastAsia="宋体" w:cs="Calibri"/>
      <w:sz w:val="21"/>
      <w:szCs w:val="24"/>
      <w:lang w:val="en-US" w:eastAsia="zh-CN" w:bidi="ar-SA"/>
    </w:rPr>
  </w:style>
  <w:style w:type="paragraph" w:customStyle="1" w:styleId="45">
    <w:name w:val="表标题"/>
    <w:basedOn w:val="1"/>
    <w:qFormat/>
    <w:uiPriority w:val="0"/>
    <w:pPr>
      <w:spacing w:before="80" w:after="80" w:line="240" w:lineRule="auto"/>
      <w:ind w:firstLine="0" w:firstLineChars="0"/>
      <w:jc w:val="center"/>
    </w:pPr>
    <w:rPr>
      <w:b/>
      <w:sz w:val="21"/>
      <w:szCs w:val="20"/>
    </w:rPr>
  </w:style>
  <w:style w:type="paragraph" w:customStyle="1" w:styleId="46">
    <w:name w:val="Table Paragraph"/>
    <w:basedOn w:val="1"/>
    <w:qFormat/>
    <w:uiPriority w:val="1"/>
    <w:pPr>
      <w:adjustRightInd w:val="0"/>
      <w:spacing w:line="240" w:lineRule="auto"/>
      <w:ind w:firstLine="0" w:firstLineChars="0"/>
      <w:jc w:val="center"/>
    </w:pPr>
    <w:rPr>
      <w:rFonts w:ascii="宋体"/>
    </w:rPr>
  </w:style>
  <w:style w:type="paragraph" w:customStyle="1" w:styleId="47">
    <w:name w:val="表格正文"/>
    <w:basedOn w:val="14"/>
    <w:next w:val="1"/>
    <w:qFormat/>
    <w:uiPriority w:val="0"/>
    <w:pPr>
      <w:snapToGrid w:val="0"/>
      <w:spacing w:line="240" w:lineRule="auto"/>
      <w:ind w:firstLine="0" w:firstLineChars="0"/>
      <w:jc w:val="center"/>
    </w:pPr>
    <w:rPr>
      <w:color w:val="000000"/>
      <w:sz w:val="21"/>
      <w:szCs w:val="21"/>
    </w:rPr>
  </w:style>
  <w:style w:type="character" w:customStyle="1" w:styleId="48">
    <w:name w:val="批注框文本 Char"/>
    <w:basedOn w:val="33"/>
    <w:link w:val="19"/>
    <w:qFormat/>
    <w:uiPriority w:val="0"/>
    <w:rPr>
      <w:rFonts w:cs="宋体"/>
      <w:sz w:val="18"/>
      <w:szCs w:val="18"/>
      <w:lang w:val="zh-CN" w:bidi="zh-CN"/>
    </w:rPr>
  </w:style>
  <w:style w:type="character" w:customStyle="1" w:styleId="49">
    <w:name w:val="批注文字 Char"/>
    <w:basedOn w:val="33"/>
    <w:link w:val="13"/>
    <w:qFormat/>
    <w:uiPriority w:val="99"/>
    <w:rPr>
      <w:rFonts w:cs="宋体"/>
      <w:sz w:val="24"/>
      <w:szCs w:val="22"/>
      <w:lang w:val="zh-CN" w:bidi="zh-CN"/>
    </w:rPr>
  </w:style>
  <w:style w:type="character" w:customStyle="1" w:styleId="50">
    <w:name w:val="批注主题 Char"/>
    <w:basedOn w:val="49"/>
    <w:link w:val="28"/>
    <w:qFormat/>
    <w:uiPriority w:val="0"/>
    <w:rPr>
      <w:rFonts w:cs="宋体"/>
      <w:b/>
      <w:bCs/>
      <w:sz w:val="24"/>
      <w:szCs w:val="22"/>
      <w:lang w:val="zh-CN" w:bidi="zh-CN"/>
    </w:rPr>
  </w:style>
  <w:style w:type="paragraph" w:customStyle="1" w:styleId="51">
    <w:name w:val="样式2"/>
    <w:basedOn w:val="12"/>
    <w:qFormat/>
    <w:uiPriority w:val="0"/>
    <w:pPr>
      <w:ind w:firstLine="480"/>
    </w:pPr>
    <w:rPr>
      <w:rFonts w:ascii="Arial" w:hAnsi="Arial" w:eastAsia="宋体" w:cs="Arial"/>
    </w:rPr>
  </w:style>
  <w:style w:type="paragraph" w:customStyle="1" w:styleId="52">
    <w:name w:val="表格内容"/>
    <w:basedOn w:val="1"/>
    <w:qFormat/>
    <w:uiPriority w:val="99"/>
    <w:pPr>
      <w:spacing w:line="240" w:lineRule="atLeast"/>
      <w:jc w:val="center"/>
    </w:pPr>
    <w:rPr>
      <w:szCs w:val="24"/>
    </w:rPr>
  </w:style>
  <w:style w:type="paragraph" w:customStyle="1" w:styleId="53">
    <w:name w:val="表格头"/>
    <w:basedOn w:val="25"/>
    <w:qFormat/>
    <w:uiPriority w:val="0"/>
    <w:pPr>
      <w:ind w:firstLine="0" w:firstLineChars="0"/>
      <w:jc w:val="center"/>
    </w:pPr>
    <w:rPr>
      <w:b/>
      <w:snapToGrid w:val="0"/>
      <w:kern w:val="0"/>
      <w:szCs w:val="21"/>
    </w:rPr>
  </w:style>
  <w:style w:type="paragraph" w:customStyle="1" w:styleId="54">
    <w:name w:val="表内容"/>
    <w:basedOn w:val="1"/>
    <w:qFormat/>
    <w:uiPriority w:val="0"/>
    <w:pPr>
      <w:jc w:val="center"/>
    </w:pPr>
    <w:rPr>
      <w:rFonts w:ascii="Times New Roman" w:hAnsi="Times New Roman"/>
      <w:snapToGrid w:val="0"/>
      <w:kern w:val="0"/>
      <w:szCs w:val="21"/>
    </w:rPr>
  </w:style>
  <w:style w:type="paragraph" w:customStyle="1" w:styleId="55">
    <w:name w:val="表格名称"/>
    <w:basedOn w:val="1"/>
    <w:qFormat/>
    <w:uiPriority w:val="0"/>
    <w:pPr>
      <w:spacing w:line="240" w:lineRule="auto"/>
      <w:ind w:firstLine="0" w:firstLineChars="0"/>
      <w:jc w:val="center"/>
    </w:pPr>
    <w:rPr>
      <w:rFonts w:ascii="Times New Roman" w:hAnsi="Times New Roman" w:cs="宋体"/>
      <w:b/>
      <w:bCs/>
      <w:szCs w:val="21"/>
    </w:rPr>
  </w:style>
  <w:style w:type="paragraph" w:customStyle="1" w:styleId="56">
    <w:name w:val="正文l"/>
    <w:basedOn w:val="1"/>
    <w:qFormat/>
    <w:uiPriority w:val="0"/>
    <w:pPr>
      <w:adjustRightInd w:val="0"/>
      <w:snapToGrid w:val="0"/>
      <w:spacing w:line="360" w:lineRule="auto"/>
      <w:ind w:firstLine="200" w:firstLineChars="200"/>
    </w:pPr>
    <w:rPr>
      <w:snapToGrid w:val="0"/>
      <w:color w:val="000000"/>
      <w:kern w:val="0"/>
      <w:sz w:val="24"/>
      <w:szCs w:val="24"/>
    </w:rPr>
  </w:style>
  <w:style w:type="paragraph" w:customStyle="1" w:styleId="57">
    <w:name w:val="样式 纯文本 + Times New Roman 四号 左 行距: 1.5 倍行距"/>
    <w:basedOn w:val="18"/>
    <w:qFormat/>
    <w:uiPriority w:val="0"/>
    <w:pPr>
      <w:spacing w:line="360" w:lineRule="auto"/>
      <w:ind w:firstLine="560" w:firstLineChars="200"/>
      <w:jc w:val="left"/>
    </w:pPr>
    <w:rPr>
      <w:rFonts w:hAnsi="宋体"/>
      <w:sz w:val="28"/>
    </w:rPr>
  </w:style>
  <w:style w:type="paragraph" w:customStyle="1" w:styleId="58">
    <w:name w:val="表格文字"/>
    <w:basedOn w:val="29"/>
    <w:qFormat/>
    <w:uiPriority w:val="0"/>
    <w:pPr>
      <w:adjustRightInd w:val="0"/>
      <w:snapToGrid w:val="0"/>
      <w:jc w:val="center"/>
      <w:textAlignment w:val="center"/>
    </w:pPr>
  </w:style>
  <w:style w:type="character" w:customStyle="1" w:styleId="59">
    <w:name w:val="fontstyle01"/>
    <w:basedOn w:val="33"/>
    <w:qFormat/>
    <w:uiPriority w:val="0"/>
    <w:rPr>
      <w:rFonts w:hint="eastAsia" w:ascii="宋体" w:hAnsi="宋体" w:eastAsia="宋体"/>
      <w:color w:val="000000"/>
      <w:sz w:val="24"/>
      <w:szCs w:val="24"/>
    </w:rPr>
  </w:style>
  <w:style w:type="character" w:customStyle="1" w:styleId="60">
    <w:name w:val="图表标题 Char"/>
    <w:link w:val="43"/>
    <w:qFormat/>
    <w:uiPriority w:val="0"/>
    <w:rPr>
      <w:b/>
      <w:bCs/>
      <w:sz w:val="21"/>
      <w:szCs w:val="21"/>
    </w:rPr>
  </w:style>
  <w:style w:type="paragraph" w:customStyle="1" w:styleId="61">
    <w:name w:val="表格内文字"/>
    <w:basedOn w:val="1"/>
    <w:qFormat/>
    <w:uiPriority w:val="0"/>
    <w:pPr>
      <w:kinsoku w:val="0"/>
      <w:wordWrap w:val="0"/>
      <w:overflowPunct w:val="0"/>
      <w:spacing w:line="240" w:lineRule="auto"/>
      <w:ind w:firstLine="0" w:firstLineChars="0"/>
      <w:jc w:val="center"/>
    </w:pPr>
    <w:rPr>
      <w:snapToGrid w:val="0"/>
      <w:kern w:val="0"/>
      <w:sz w:val="21"/>
      <w:szCs w:val="20"/>
    </w:rPr>
  </w:style>
  <w:style w:type="paragraph" w:customStyle="1" w:styleId="62">
    <w:name w:val="样式 表格 32 + 首行缩进:  2 字符"/>
    <w:basedOn w:val="63"/>
    <w:qFormat/>
    <w:uiPriority w:val="0"/>
    <w:pPr>
      <w:spacing w:line="0" w:lineRule="atLeast"/>
      <w:textAlignment w:val="auto"/>
    </w:pPr>
    <w:rPr>
      <w:rFonts w:ascii="Times New Roman" w:hAnsi="Times New Roman"/>
      <w:sz w:val="20"/>
      <w:szCs w:val="21"/>
      <w:lang w:val="en-US" w:eastAsia="zh-CN"/>
    </w:rPr>
  </w:style>
  <w:style w:type="paragraph" w:customStyle="1" w:styleId="63">
    <w:name w:val="表格 32"/>
    <w:basedOn w:val="1"/>
    <w:qFormat/>
    <w:uiPriority w:val="0"/>
    <w:pPr>
      <w:autoSpaceDE w:val="0"/>
      <w:autoSpaceDN w:val="0"/>
      <w:adjustRightInd w:val="0"/>
      <w:spacing w:line="240" w:lineRule="atLeast"/>
      <w:jc w:val="center"/>
      <w:textAlignment w:val="baseline"/>
    </w:pPr>
    <w:rPr>
      <w:kern w:val="0"/>
      <w:sz w:val="24"/>
    </w:rPr>
  </w:style>
  <w:style w:type="table" w:customStyle="1" w:styleId="64">
    <w:name w:val="报告表格1"/>
    <w:basedOn w:val="31"/>
    <w:qFormat/>
    <w:uiPriority w:val="39"/>
    <w:pPr>
      <w:spacing w:line="240" w:lineRule="atLeast"/>
      <w:jc w:val="center"/>
      <w:textAlignment w:val="center"/>
    </w:pPr>
    <w:rPr>
      <w:rFonts w:ascii="Times New Roman" w:hAnsi="Times New Roman" w:eastAsia="宋体"/>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jc w:val="center"/>
    </w:trPr>
    <w:tcPr>
      <w:vAlign w:val="center"/>
    </w:tcPr>
    <w:tblStylePr w:type="firstRow">
      <w:pPr>
        <w:wordWrap/>
        <w:spacing w:line="240" w:lineRule="auto"/>
        <w:ind w:firstLine="0" w:firstLineChars="0"/>
        <w:jc w:val="center"/>
      </w:pPr>
      <w:rPr>
        <w:rFonts w:ascii="Times New Roman" w:hAnsi="Times New Roman" w:eastAsia="宋体"/>
        <w:b/>
        <w:i w:val="0"/>
      </w:rPr>
      <w:tblPr/>
      <w:trPr>
        <w:tblHeader/>
      </w:trPr>
      <w:tcPr>
        <w:tcBorders>
          <w:top w:val="single" w:color="auto" w:sz="12" w:space="0"/>
          <w:left w:val="single" w:color="auto" w:sz="12" w:space="0"/>
          <w:bottom w:val="nil"/>
          <w:right w:val="single" w:color="auto" w:sz="12" w:space="0"/>
          <w:insideH w:val="single" w:sz="4" w:space="0"/>
          <w:insideV w:val="single" w:sz="4" w:space="0"/>
          <w:tl2br w:val="nil"/>
          <w:tr2bl w:val="nil"/>
        </w:tcBorders>
      </w:tcPr>
    </w:tblStylePr>
  </w:style>
  <w:style w:type="paragraph" w:customStyle="1" w:styleId="65">
    <w:name w:val="表中文字"/>
    <w:basedOn w:val="1"/>
    <w:qFormat/>
    <w:uiPriority w:val="0"/>
    <w:pPr>
      <w:adjustRightInd w:val="0"/>
      <w:spacing w:line="240" w:lineRule="auto"/>
      <w:ind w:firstLine="0" w:firstLineChars="0"/>
      <w:jc w:val="center"/>
      <w:textAlignment w:val="baseline"/>
    </w:pPr>
    <w:rPr>
      <w:kern w:val="0"/>
      <w:sz w:val="21"/>
      <w:szCs w:val="20"/>
    </w:rPr>
  </w:style>
  <w:style w:type="paragraph" w:customStyle="1" w:styleId="66">
    <w:name w:val="表格标题"/>
    <w:basedOn w:val="29"/>
    <w:next w:val="38"/>
    <w:qFormat/>
    <w:uiPriority w:val="0"/>
    <w:pPr>
      <w:spacing w:before="0" w:beforeLines="0"/>
      <w:ind w:firstLine="0" w:firstLineChars="0"/>
      <w:jc w:val="center"/>
    </w:pPr>
    <w:rPr>
      <w:rFonts w:eastAsia="宋体"/>
      <w:sz w:val="21"/>
    </w:rPr>
  </w:style>
  <w:style w:type="paragraph" w:customStyle="1" w:styleId="67">
    <w:name w:val="表 文"/>
    <w:basedOn w:val="10"/>
    <w:next w:val="1"/>
    <w:qFormat/>
    <w:uiPriority w:val="0"/>
    <w:pPr>
      <w:keepNext w:val="0"/>
      <w:keepLines w:val="0"/>
      <w:widowControl/>
      <w:suppressLineNumbers w:val="0"/>
      <w:wordWrap w:val="0"/>
      <w:spacing w:beforeAutospacing="0" w:after="0" w:afterAutospacing="0" w:line="240" w:lineRule="auto"/>
      <w:ind w:left="0" w:right="0" w:firstLine="0" w:firstLineChars="0"/>
      <w:jc w:val="center"/>
    </w:pPr>
    <w:rPr>
      <w:rFonts w:ascii="Times New Roman" w:hAnsi="Times New Roman" w:eastAsia="宋体"/>
      <w:sz w:val="21"/>
      <w:szCs w:val="28"/>
      <w:lang w:bidi="ar"/>
    </w:rPr>
  </w:style>
  <w:style w:type="paragraph" w:customStyle="1" w:styleId="68">
    <w:name w:val="Normal Indent"/>
    <w:basedOn w:val="1"/>
    <w:qFormat/>
    <w:uiPriority w:val="0"/>
    <w:pPr>
      <w:ind w:firstLine="20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4.png"/><Relationship Id="rId23" Type="http://schemas.openxmlformats.org/officeDocument/2006/relationships/image" Target="media/image3.png"/><Relationship Id="rId22" Type="http://schemas.openxmlformats.org/officeDocument/2006/relationships/image" Target="media/image2.jpe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"/>
    </extobj>
    <extobj name="ECB019B1-382A-4266-B25C-5B523AA43C14-2">
      <extobjdata type="ECB019B1-382A-4266-B25C-5B523AA43C14" data="ewoJIkZpbGVJZCIgOiAiMTUyNjE2ODA1MTQ2IiwKCSJHcm91cElkIiA6ICIyMTA3NzMzNDAiLAoJIkltYWdlIiA6ICJpVkJPUncwS0dnb0FBQUFOU1VoRVVnQUFBMklBQUFEaUNBWUFBQUFzOTNUWEFBQUFDWEJJV1hNQUFBc1RBQUFMRXdFQW1wd1lBQUFnQUVsRVFWUjRuTzNkZVhnVDVmNDI4RHRKa3pUcGx1NGJiU2tGV2phaDRZRExRWlJGRkFWQkVSVkZSRVVRMUo4Y0VWSEVJd0tLb3J3S2lJZ1VCVUdSOVNDTG9DeldJeHhGV1FXRWJsQzYwb1ZDdDdSSnM3eC9sTVEyVGRLMFRkS1UzcC9yOHJyTXJNL00zQ1g1emp3ekF4Q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U84UDhCN2g5RWhLeHNPejhBQUFBQVNVVk9SSzVDWUlJPSIsCgkiVGhlbWUiIDogIiIsCgkiVHlwZSIgOiAiZmxvdyIsCgkiVmVyc2lvbiIgOiAiMTM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74</Pages>
  <Words>7151</Words>
  <Characters>40766</Characters>
  <Lines>339</Lines>
  <Paragraphs>95</Paragraphs>
  <TotalTime>1006</TotalTime>
  <ScaleCrop>false</ScaleCrop>
  <LinksUpToDate>false</LinksUpToDate>
  <CharactersWithSpaces>47822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2021-03-04T00:38:00Z</dcterms:created>
  <dc:creator>lhj</dc:creator>
  <cp:lastModifiedBy>茶</cp:lastModifiedBy>
  <dcterms:modified xsi:type="dcterms:W3CDTF">2022-02-15T02:10:41Z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2019</vt:lpwstr>
  </property>
  <property fmtid="{D5CDD505-2E9C-101B-9397-08002B2CF9AE}" pid="4" name="LastSaved">
    <vt:filetime>2021-03-04T00:00:00Z</vt:filetime>
  </property>
  <property fmtid="{D5CDD505-2E9C-101B-9397-08002B2CF9AE}" pid="5" name="KSOProductBuildVer">
    <vt:lpwstr>2052-11.1.0.11365</vt:lpwstr>
  </property>
  <property fmtid="{D5CDD505-2E9C-101B-9397-08002B2CF9AE}" pid="6" name="ICV">
    <vt:lpwstr>13C0A3ACBD544C27B6C22AC4A6A1D064</vt:lpwstr>
  </property>
</Properties>
</file>